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0C" w:rsidRDefault="00600F0C" w:rsidP="00600F0C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AEC2" wp14:editId="2D051C3F">
                <wp:simplePos x="0" y="0"/>
                <wp:positionH relativeFrom="column">
                  <wp:posOffset>1377315</wp:posOffset>
                </wp:positionH>
                <wp:positionV relativeFrom="paragraph">
                  <wp:posOffset>243205</wp:posOffset>
                </wp:positionV>
                <wp:extent cx="3028950" cy="800100"/>
                <wp:effectExtent l="0" t="0" r="19050" b="19050"/>
                <wp:wrapNone/>
                <wp:docPr id="90" name="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0C" w:rsidRPr="00CA5C46" w:rsidRDefault="00600F0C" w:rsidP="00600F0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CA5C4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COMISIÓN DE SEGURIDAD PÚBLICA Y RECLUSORIOS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90 Rectángulo" o:spid="_x0000_s1026" style="position:absolute;left:0;text-align:left;margin-left:108.45pt;margin-top:19.15pt;width:238.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" fillcolor="white [3201]" strokecolor="#f79646 [3209]" strokeweight="2pt">
                <v:textbox>
                  <w:txbxContent>
                    <w:p w:rsidR="00600F0C" w:rsidRPr="00CA5C46" w:rsidRDefault="00600F0C" w:rsidP="00600F0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CA5C46">
                        <w:rPr>
                          <w:b/>
                          <w:sz w:val="40"/>
                          <w:szCs w:val="40"/>
                        </w:rPr>
                        <w:t xml:space="preserve">COMISIÓN DE SEGURIDAD PÚBLICA Y RECLUSORIOS 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8197993" wp14:editId="4459CA54">
            <wp:extent cx="914400" cy="1266825"/>
            <wp:effectExtent l="0" t="0" r="0" b="0"/>
            <wp:docPr id="6" name="Imagen 6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0C" w:rsidRDefault="00600F0C" w:rsidP="00600F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600F0C" w:rsidRDefault="00600F0C" w:rsidP="00600F0C">
      <w:pPr>
        <w:pStyle w:val="Prrafodelista"/>
        <w:numPr>
          <w:ilvl w:val="0"/>
          <w:numId w:val="2"/>
        </w:numPr>
      </w:pPr>
      <w:r>
        <w:t xml:space="preserve">Los Convenios de Coordinación que se celebren entre el Gobierno del Estado y el Municipio;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II. El estudio, la planificación y proposición de los sistemas de organización y funcionamiento de la comisaria; 20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III. La vigilancia estricta de las Autoridades y Elementos de Seguridad Pública para que cumplan sus funciones con apego a la Ley y con máxima eficiencia;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 IV. Promover y fomentar la superación técnica y cultural de los elementos de Seguridad Pública;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V. Formar parte de los Consejos Consultivos de Seguridad Pública en el que se capten y canalicen los puntos de vista y peticiones de la ciudadanía en materia de Seguridad Pública;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 VI. Establecer en sistema de información periódica de la actuación del personal de Seguridad Pública y, en el caso de que este incurra en faltas en el desempeño de sus funciones o en la comisión de delitos gestionar en su caso, que se apliquen por la Autoridad Competente las sanciones que legalmente corresponda;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VII. Visitar periódicamente por lo menos dos veces al mes, los centros o lugares destinados a la custodia de personas detenidas por sanciones administrativas, o en auxilio de las Autoridades Competentes, lo mismo que a los lugares donde se encuentren recluidos menores infractores, a efecto de detectar la necesidad de dichos centros y la forma operativa de los mismos;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VIII. Vigilar que en todos los centros a que se refiere el inciso anterior, se apliquen las normas legales vigentes, consistente en el Reglamento Municipal de Reclusorios, evitando abusos y desviaciones en contra de los detenidos o recluidos, para que se respeten sus derechos y su dignidad;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IX. Coordinarse con el Departamento de Servicios Médicos Municipales y la Comisión de Salubridad e Higiene, para investigar las condiciones de salud de los detenidos y menores de edad infractores, así como el propio personal de los centros de detención, a efecto de prevenir enfermedades contagiosas y determinar las medidas adecuadas que efectúen a la salud en general de los reclusos;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X. Formular planes formativos en cuanto a la educación y elevación del nivel moral y social de los detenidos;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XI. En general, proponer la ampliación, remodelación y mejoramiento de los centros o lugares destinados para los detenidos previamente, o por infracción o Reglamentos </w:t>
      </w:r>
      <w:r>
        <w:lastRenderedPageBreak/>
        <w:t xml:space="preserve">Municipales y/o por la comisión de hechos delictuosos, en auxilio de las Autoridades Competentes;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XII. Proponer el Reglamento Municipal de Reclusorios;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XIII. Solicitar informes al Subdirector de Reclusorios, respecto al funcionamiento del Reclusorio Municipal;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 XIV. Promover la capacitación de los ciudadanos en materia de Protección Civil;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XV. Vigilar el desempeño de la comisaria, Dirección de movilidad y el área Protección Civil y Bomberos; 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XVI. Promover Políticas Municipales de Protección Civil;</w:t>
      </w:r>
    </w:p>
    <w:p w:rsidR="00600F0C" w:rsidRPr="00915FF2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 XVII. Opinar respecto a los convenios de coordinación en Materia de Seguridad Pública; y </w:t>
      </w:r>
    </w:p>
    <w:p w:rsidR="00600F0C" w:rsidRPr="00EE533E" w:rsidRDefault="00600F0C" w:rsidP="00600F0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XVIII. Formar parte de los órganos de Seguridad Pública, que para el efecto instrumenten la federación el estado o los propios Honorable Ayuntamientos en su caso, con carácter regional o de orden intermunicipal</w:t>
      </w:r>
    </w:p>
    <w:p w:rsidR="00600F0C" w:rsidRDefault="00600F0C" w:rsidP="00600F0C">
      <w:pPr>
        <w:ind w:left="360"/>
        <w:rPr>
          <w:rFonts w:ascii="Arial" w:hAnsi="Arial" w:cs="Arial"/>
          <w:b/>
          <w:sz w:val="20"/>
          <w:szCs w:val="20"/>
        </w:rPr>
      </w:pPr>
    </w:p>
    <w:p w:rsidR="00600F0C" w:rsidRPr="00C35897" w:rsidRDefault="00600F0C" w:rsidP="00600F0C">
      <w:pPr>
        <w:jc w:val="right"/>
        <w:rPr>
          <w:rFonts w:ascii="Arial" w:hAnsi="Arial" w:cs="Arial"/>
          <w:b/>
          <w:sz w:val="16"/>
          <w:szCs w:val="16"/>
        </w:rPr>
      </w:pPr>
      <w:r w:rsidRPr="00C35897">
        <w:rPr>
          <w:rFonts w:ascii="Arial" w:hAnsi="Arial" w:cs="Arial"/>
          <w:b/>
          <w:sz w:val="16"/>
          <w:szCs w:val="16"/>
        </w:rPr>
        <w:t>FUNDAMENTO LEGAL: REGLAMENTO DEL AYUNTAMIENTO DE OCOTLAN, JALISCO. ARTICULO 51.</w:t>
      </w:r>
    </w:p>
    <w:p w:rsidR="00600F0C" w:rsidRDefault="00600F0C" w:rsidP="00600F0C">
      <w:pPr>
        <w:jc w:val="both"/>
        <w:rPr>
          <w:rFonts w:ascii="Arial" w:hAnsi="Arial" w:cs="Arial"/>
          <w:b/>
        </w:rPr>
      </w:pPr>
    </w:p>
    <w:p w:rsidR="00600F0C" w:rsidRDefault="00600F0C" w:rsidP="00600F0C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600F0C" w:rsidRDefault="00600F0C" w:rsidP="00600F0C">
      <w:pPr>
        <w:jc w:val="right"/>
        <w:rPr>
          <w:rFonts w:ascii="Arial" w:hAnsi="Arial" w:cs="Arial"/>
          <w:b/>
          <w:sz w:val="16"/>
          <w:szCs w:val="16"/>
        </w:rPr>
      </w:pPr>
    </w:p>
    <w:p w:rsidR="00600F0C" w:rsidRPr="00DA3327" w:rsidRDefault="00600F0C" w:rsidP="00600F0C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172E6D9B" wp14:editId="6B2F8941">
            <wp:extent cx="914400" cy="1266825"/>
            <wp:effectExtent l="0" t="0" r="0" b="9525"/>
            <wp:docPr id="50" name="Imagen 50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0C" w:rsidRPr="00DA3327" w:rsidRDefault="00600F0C" w:rsidP="00600F0C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600F0C" w:rsidRDefault="00600F0C" w:rsidP="00600F0C">
      <w:pPr>
        <w:jc w:val="both"/>
        <w:rPr>
          <w:rFonts w:ascii="Arial" w:hAnsi="Arial" w:cs="Arial"/>
          <w:b/>
        </w:rPr>
      </w:pPr>
    </w:p>
    <w:p w:rsidR="002E7DFA" w:rsidRPr="00600F0C" w:rsidRDefault="002E7DFA" w:rsidP="00600F0C"/>
    <w:sectPr w:rsidR="002E7DFA" w:rsidRPr="00600F0C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1957"/>
    <w:multiLevelType w:val="hybridMultilevel"/>
    <w:tmpl w:val="1902E134"/>
    <w:lvl w:ilvl="0" w:tplc="B02C2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600F0C"/>
    <w:rsid w:val="0096356A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2016-01-09T01:28:00Z</dcterms:created>
  <dcterms:modified xsi:type="dcterms:W3CDTF">2016-01-09T01:28:00Z</dcterms:modified>
</cp:coreProperties>
</file>