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44" w:rsidRPr="00315D68" w:rsidRDefault="00713A44" w:rsidP="00AD52EB">
      <w:pPr>
        <w:pStyle w:val="Sinespaciado"/>
        <w:spacing w:before="240" w:line="276" w:lineRule="auto"/>
        <w:jc w:val="center"/>
        <w:rPr>
          <w:rFonts w:ascii="Arial" w:hAnsi="Arial" w:cs="Arial"/>
          <w:b/>
          <w:smallCaps/>
          <w:sz w:val="21"/>
          <w:szCs w:val="21"/>
          <w:u w:val="single"/>
          <w:lang w:val="es-ES_tradnl"/>
        </w:rPr>
      </w:pPr>
      <w:r w:rsidRPr="00315D68">
        <w:rPr>
          <w:rFonts w:ascii="Arial" w:hAnsi="Arial" w:cs="Arial"/>
          <w:b/>
          <w:smallCaps/>
          <w:sz w:val="21"/>
          <w:szCs w:val="21"/>
          <w:u w:val="single"/>
          <w:lang w:val="es-ES_tradnl"/>
        </w:rPr>
        <w:t>Anexo 1.</w:t>
      </w:r>
    </w:p>
    <w:p w:rsidR="00713A44" w:rsidRPr="00315D68" w:rsidRDefault="00713A44" w:rsidP="00AD52EB">
      <w:pPr>
        <w:pStyle w:val="Sinespaciado"/>
        <w:spacing w:before="240" w:line="276" w:lineRule="auto"/>
        <w:jc w:val="center"/>
        <w:rPr>
          <w:rFonts w:ascii="Arial" w:hAnsi="Arial" w:cs="Arial"/>
          <w:b/>
          <w:smallCaps/>
          <w:sz w:val="21"/>
          <w:szCs w:val="21"/>
          <w:lang w:val="es-ES_tradnl"/>
        </w:rPr>
      </w:pPr>
      <w:r w:rsidRPr="00315D68">
        <w:rPr>
          <w:rFonts w:ascii="Arial" w:hAnsi="Arial" w:cs="Arial"/>
          <w:b/>
          <w:smallCaps/>
          <w:sz w:val="21"/>
          <w:szCs w:val="21"/>
          <w:lang w:val="es-ES_tradnl"/>
        </w:rPr>
        <w:t>Especificaciones Requeridas.</w:t>
      </w:r>
    </w:p>
    <w:p w:rsidR="002A0CB6" w:rsidRPr="00315D68" w:rsidRDefault="002A0CB6" w:rsidP="00AD52EB">
      <w:pPr>
        <w:pStyle w:val="Prrafodelista"/>
        <w:numPr>
          <w:ilvl w:val="0"/>
          <w:numId w:val="36"/>
        </w:numPr>
        <w:spacing w:before="240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Tope Presupuestal.</w:t>
      </w:r>
    </w:p>
    <w:p w:rsidR="003E0D01" w:rsidRPr="00315D68" w:rsidRDefault="003E0D01" w:rsidP="00315D68">
      <w:pPr>
        <w:pStyle w:val="Prrafodelista"/>
        <w:tabs>
          <w:tab w:val="left" w:pos="4095"/>
        </w:tabs>
        <w:spacing w:before="240"/>
        <w:rPr>
          <w:rFonts w:ascii="Arial" w:hAnsi="Arial" w:cs="Arial"/>
          <w:b/>
          <w:sz w:val="21"/>
          <w:szCs w:val="21"/>
        </w:rPr>
      </w:pPr>
    </w:p>
    <w:p w:rsidR="002A0CB6" w:rsidRDefault="002A0CB6" w:rsidP="002A0CB6">
      <w:pPr>
        <w:pStyle w:val="Prrafodelista"/>
        <w:spacing w:before="240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$ 2’000,000.00 M.N. (dos millones de pesos 00/100 Moneda Nacional)</w:t>
      </w:r>
    </w:p>
    <w:p w:rsidR="00315D68" w:rsidRDefault="00315D68" w:rsidP="00315D68">
      <w:pPr>
        <w:pStyle w:val="Prrafodelista"/>
        <w:spacing w:before="240"/>
        <w:rPr>
          <w:rFonts w:ascii="Arial" w:hAnsi="Arial" w:cs="Arial"/>
          <w:b/>
          <w:sz w:val="21"/>
          <w:szCs w:val="21"/>
        </w:rPr>
      </w:pPr>
    </w:p>
    <w:p w:rsidR="002A0CB6" w:rsidRPr="00315D68" w:rsidRDefault="002A0CB6" w:rsidP="00AD52EB">
      <w:pPr>
        <w:pStyle w:val="Prrafodelista"/>
        <w:numPr>
          <w:ilvl w:val="0"/>
          <w:numId w:val="36"/>
        </w:numPr>
        <w:spacing w:before="240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Vigencia: 1 año</w:t>
      </w:r>
    </w:p>
    <w:p w:rsidR="003E0D01" w:rsidRPr="00315D68" w:rsidRDefault="003E0D01" w:rsidP="003E0D01">
      <w:pPr>
        <w:pStyle w:val="Prrafodelista"/>
        <w:spacing w:before="240"/>
        <w:rPr>
          <w:rFonts w:ascii="Arial" w:hAnsi="Arial" w:cs="Arial"/>
          <w:b/>
          <w:sz w:val="21"/>
          <w:szCs w:val="21"/>
        </w:rPr>
      </w:pPr>
    </w:p>
    <w:p w:rsidR="002A0CB6" w:rsidRPr="00315D68" w:rsidRDefault="002A0CB6" w:rsidP="002A0CB6">
      <w:pPr>
        <w:pStyle w:val="Prrafodelista"/>
        <w:spacing w:before="240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Del 28 de abril del 2019 al 27 de abril del 2020.</w:t>
      </w:r>
    </w:p>
    <w:p w:rsidR="00315D68" w:rsidRDefault="00315D68" w:rsidP="00315D68">
      <w:pPr>
        <w:pStyle w:val="Prrafodelista"/>
        <w:spacing w:before="24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1046F8" w:rsidRPr="00315D68" w:rsidRDefault="001046F8" w:rsidP="00AD52EB">
      <w:pPr>
        <w:pStyle w:val="Prrafodelista"/>
        <w:numPr>
          <w:ilvl w:val="0"/>
          <w:numId w:val="36"/>
        </w:numPr>
        <w:spacing w:before="240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Bienes Cubiertos.</w:t>
      </w:r>
    </w:p>
    <w:p w:rsidR="001046F8" w:rsidRPr="00315D68" w:rsidRDefault="001046F8" w:rsidP="00AD52EB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La totalidad de vehículos propiedad, en comodato o bajo responsabilidad del municipio de Ocotl</w:t>
      </w:r>
      <w:r w:rsidR="00233AD5" w:rsidRPr="00315D68">
        <w:rPr>
          <w:rFonts w:ascii="Arial" w:hAnsi="Arial" w:cs="Arial"/>
          <w:sz w:val="21"/>
          <w:szCs w:val="21"/>
        </w:rPr>
        <w:t>án, Jalisco así como los que en un futuro pudieran agregarse.</w:t>
      </w:r>
    </w:p>
    <w:p w:rsidR="001046F8" w:rsidRPr="00315D68" w:rsidRDefault="001046F8" w:rsidP="00AD52EB">
      <w:pPr>
        <w:pStyle w:val="Default"/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Es requerimiento del</w:t>
      </w:r>
      <w:r w:rsidRPr="00315D68">
        <w:rPr>
          <w:rFonts w:ascii="Arial" w:hAnsi="Arial" w:cs="Arial"/>
          <w:bCs/>
          <w:sz w:val="21"/>
          <w:szCs w:val="21"/>
        </w:rPr>
        <w:t xml:space="preserve"> </w:t>
      </w:r>
      <w:r w:rsidR="00233AD5" w:rsidRPr="00315D68">
        <w:rPr>
          <w:rFonts w:ascii="Arial" w:hAnsi="Arial" w:cs="Arial"/>
          <w:bCs/>
          <w:sz w:val="21"/>
          <w:szCs w:val="21"/>
        </w:rPr>
        <w:t>gobierno municipal que se consideren las mismas condiciones</w:t>
      </w:r>
      <w:r w:rsidR="00E209D6" w:rsidRPr="00315D68">
        <w:rPr>
          <w:rFonts w:ascii="Arial" w:hAnsi="Arial" w:cs="Arial"/>
          <w:sz w:val="21"/>
          <w:szCs w:val="21"/>
        </w:rPr>
        <w:t xml:space="preserve"> para futuras adquisiciones a</w:t>
      </w:r>
      <w:r w:rsidRPr="00315D68">
        <w:rPr>
          <w:rFonts w:ascii="Arial" w:hAnsi="Arial" w:cs="Arial"/>
          <w:sz w:val="21"/>
          <w:szCs w:val="21"/>
        </w:rPr>
        <w:t>utomóviles, autobuses, camionetas, camiones, minibuses motocicletas y demás vehículos propiedad o bajo la responsabilidad del</w:t>
      </w:r>
      <w:r w:rsidRPr="00315D68">
        <w:rPr>
          <w:rFonts w:ascii="Arial" w:hAnsi="Arial" w:cs="Arial"/>
          <w:bCs/>
          <w:sz w:val="21"/>
          <w:szCs w:val="21"/>
        </w:rPr>
        <w:t xml:space="preserve"> </w:t>
      </w:r>
      <w:r w:rsidR="00233AD5" w:rsidRPr="00315D68">
        <w:rPr>
          <w:rFonts w:ascii="Arial" w:hAnsi="Arial" w:cs="Arial"/>
          <w:bCs/>
          <w:sz w:val="21"/>
          <w:szCs w:val="21"/>
        </w:rPr>
        <w:t>gobierno municipal.</w:t>
      </w:r>
    </w:p>
    <w:p w:rsidR="00233AD5" w:rsidRPr="00315D68" w:rsidRDefault="00060C60" w:rsidP="00AD52E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Condiciones y Clausulado.</w:t>
      </w:r>
    </w:p>
    <w:p w:rsidR="001E32CA" w:rsidRPr="00315D68" w:rsidRDefault="001E32CA" w:rsidP="00AD52EB">
      <w:pPr>
        <w:pStyle w:val="Prrafodelista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233AD5" w:rsidRPr="00315D68" w:rsidRDefault="001046F8" w:rsidP="00AD52EB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E</w:t>
      </w:r>
      <w:r w:rsidR="00233AD5" w:rsidRPr="00315D68">
        <w:rPr>
          <w:rFonts w:ascii="Arial" w:hAnsi="Arial" w:cs="Arial"/>
          <w:sz w:val="21"/>
          <w:szCs w:val="21"/>
        </w:rPr>
        <w:t>rrores y omisiones c</w:t>
      </w:r>
      <w:r w:rsidRPr="00315D68">
        <w:rPr>
          <w:rFonts w:ascii="Arial" w:hAnsi="Arial" w:cs="Arial"/>
          <w:sz w:val="21"/>
          <w:szCs w:val="21"/>
        </w:rPr>
        <w:t>ubiertos</w:t>
      </w:r>
      <w:r w:rsidR="00233AD5" w:rsidRPr="00315D68">
        <w:rPr>
          <w:rFonts w:ascii="Arial" w:hAnsi="Arial" w:cs="Arial"/>
          <w:sz w:val="21"/>
          <w:szCs w:val="21"/>
        </w:rPr>
        <w:t>.</w:t>
      </w:r>
    </w:p>
    <w:p w:rsidR="001046F8" w:rsidRPr="00315D68" w:rsidRDefault="001046F8" w:rsidP="00AD52EB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Todos los riesgos amparados tanto en las condiciones generales, así como los de convenio expreso</w:t>
      </w:r>
      <w:r w:rsidR="00E209D6" w:rsidRPr="00315D68">
        <w:rPr>
          <w:rFonts w:ascii="Arial" w:hAnsi="Arial" w:cs="Arial"/>
          <w:sz w:val="21"/>
          <w:szCs w:val="21"/>
        </w:rPr>
        <w:t>.</w:t>
      </w:r>
    </w:p>
    <w:p w:rsidR="001046F8" w:rsidRPr="00315D68" w:rsidRDefault="00E209D6" w:rsidP="00AD52E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Territorialidad.</w:t>
      </w:r>
    </w:p>
    <w:p w:rsidR="001046F8" w:rsidRPr="00315D68" w:rsidRDefault="00E209D6" w:rsidP="00AD52EB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La</w:t>
      </w:r>
      <w:r w:rsidR="001046F8" w:rsidRPr="00315D68">
        <w:rPr>
          <w:rFonts w:ascii="Arial" w:hAnsi="Arial" w:cs="Arial"/>
          <w:sz w:val="21"/>
          <w:szCs w:val="21"/>
        </w:rPr>
        <w:t xml:space="preserve"> póliza será contratada conforme a las leyes mexicanas y para cubrir daños que ocurran dentro del territorio de los Estados Unidos Mexicanos.</w:t>
      </w:r>
    </w:p>
    <w:p w:rsidR="00E209D6" w:rsidRPr="00315D68" w:rsidRDefault="00E209D6" w:rsidP="00AD52E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Riegos Cubiertos Básicos y Límites máximos de Responsabilidad, Coaseguros y Deducibles aplicados.</w:t>
      </w:r>
    </w:p>
    <w:p w:rsidR="00E209D6" w:rsidRPr="00315D68" w:rsidRDefault="00F312BA" w:rsidP="00AD52EB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 xml:space="preserve">Las coberturas se realizarán de conformidad a lo establecido en el listado de vehículos </w:t>
      </w:r>
      <w:r w:rsidR="001E32CA" w:rsidRPr="00315D68">
        <w:rPr>
          <w:rFonts w:ascii="Arial" w:hAnsi="Arial" w:cs="Arial"/>
          <w:sz w:val="21"/>
          <w:szCs w:val="21"/>
        </w:rPr>
        <w:t>especificados en el “anexo 3.”</w:t>
      </w:r>
    </w:p>
    <w:p w:rsidR="00233AD5" w:rsidRPr="00315D68" w:rsidRDefault="001046F8" w:rsidP="00AD52E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Especificación de Coberturas.</w:t>
      </w:r>
    </w:p>
    <w:p w:rsidR="00233AD5" w:rsidRPr="00315D68" w:rsidRDefault="00233AD5" w:rsidP="00AD52EB">
      <w:pPr>
        <w:pStyle w:val="Prrafodelista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1"/>
          <w:szCs w:val="21"/>
        </w:rPr>
      </w:pPr>
    </w:p>
    <w:p w:rsidR="001046F8" w:rsidRPr="00315D68" w:rsidRDefault="001046F8" w:rsidP="00AD52EB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 xml:space="preserve">El servicio de reparaciones de vehículos 2015 a la fecha se hará en agencias autorizadas, correspondientes a la agencia y marca del vehículo siniestrado. 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La inexactitud en la declaración de bienes no será motivo de disminución o rechazo en la indemnización a que hubiere lugar en caso de siniestro.</w:t>
      </w:r>
    </w:p>
    <w:p w:rsidR="001046F8" w:rsidRPr="00315D68" w:rsidRDefault="00060C60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Responsabilidad civil c</w:t>
      </w:r>
      <w:r w:rsidR="001046F8" w:rsidRPr="00315D68">
        <w:rPr>
          <w:rFonts w:ascii="Arial" w:hAnsi="Arial" w:cs="Arial"/>
          <w:b/>
          <w:bCs/>
          <w:sz w:val="21"/>
          <w:szCs w:val="21"/>
        </w:rPr>
        <w:t>atastrófica</w:t>
      </w:r>
      <w:r w:rsidR="001046F8" w:rsidRPr="00315D68">
        <w:rPr>
          <w:rFonts w:ascii="Arial" w:hAnsi="Arial" w:cs="Arial"/>
          <w:bCs/>
          <w:sz w:val="21"/>
          <w:szCs w:val="21"/>
        </w:rPr>
        <w:t xml:space="preserve">: en caso de agotarse la suma contratada en responsabilidad </w:t>
      </w:r>
      <w:r w:rsidRPr="00315D68">
        <w:rPr>
          <w:rFonts w:ascii="Arial" w:hAnsi="Arial" w:cs="Arial"/>
          <w:b/>
          <w:bCs/>
          <w:sz w:val="21"/>
          <w:szCs w:val="21"/>
        </w:rPr>
        <w:t>c</w:t>
      </w:r>
      <w:r w:rsidR="001046F8" w:rsidRPr="00315D68">
        <w:rPr>
          <w:rFonts w:ascii="Arial" w:hAnsi="Arial" w:cs="Arial"/>
          <w:b/>
          <w:bCs/>
          <w:sz w:val="21"/>
          <w:szCs w:val="21"/>
        </w:rPr>
        <w:t>ivil operará</w:t>
      </w:r>
      <w:r w:rsidR="001046F8" w:rsidRPr="00315D68">
        <w:rPr>
          <w:rFonts w:ascii="Arial" w:hAnsi="Arial" w:cs="Arial"/>
          <w:bCs/>
          <w:sz w:val="21"/>
          <w:szCs w:val="21"/>
        </w:rPr>
        <w:t xml:space="preserve"> la </w:t>
      </w:r>
      <w:r w:rsidRPr="00315D68">
        <w:rPr>
          <w:rFonts w:ascii="Arial" w:hAnsi="Arial" w:cs="Arial"/>
          <w:b/>
          <w:bCs/>
          <w:sz w:val="21"/>
          <w:szCs w:val="21"/>
        </w:rPr>
        <w:t>c</w:t>
      </w:r>
      <w:r w:rsidR="001046F8" w:rsidRPr="00315D68">
        <w:rPr>
          <w:rFonts w:ascii="Arial" w:hAnsi="Arial" w:cs="Arial"/>
          <w:b/>
          <w:bCs/>
          <w:sz w:val="21"/>
          <w:szCs w:val="21"/>
        </w:rPr>
        <w:t>atastrófica</w:t>
      </w:r>
      <w:r w:rsidR="001046F8" w:rsidRPr="00315D68">
        <w:rPr>
          <w:rFonts w:ascii="Arial" w:hAnsi="Arial" w:cs="Arial"/>
          <w:bCs/>
          <w:sz w:val="21"/>
          <w:szCs w:val="21"/>
        </w:rPr>
        <w:t xml:space="preserve"> en exceso, después de agotarse la cobertura básica, hasta la suma máxima por unidad o</w:t>
      </w:r>
      <w:r w:rsidR="001E32CA" w:rsidRPr="00315D68">
        <w:rPr>
          <w:rFonts w:ascii="Arial" w:hAnsi="Arial" w:cs="Arial"/>
          <w:bCs/>
          <w:sz w:val="21"/>
          <w:szCs w:val="21"/>
        </w:rPr>
        <w:t xml:space="preserve"> por evento de $1,000,000.00 M.</w:t>
      </w:r>
      <w:r w:rsidR="001046F8" w:rsidRPr="00315D68">
        <w:rPr>
          <w:rFonts w:ascii="Arial" w:hAnsi="Arial" w:cs="Arial"/>
          <w:bCs/>
          <w:sz w:val="21"/>
          <w:szCs w:val="21"/>
        </w:rPr>
        <w:t>N. y con un límite máximo anual de acumulación de eventos de esta par</w:t>
      </w:r>
      <w:r w:rsidR="001E32CA" w:rsidRPr="00315D68">
        <w:rPr>
          <w:rFonts w:ascii="Arial" w:hAnsi="Arial" w:cs="Arial"/>
          <w:bCs/>
          <w:sz w:val="21"/>
          <w:szCs w:val="21"/>
        </w:rPr>
        <w:t>ticularidad de $3,000,000.00 M.</w:t>
      </w:r>
      <w:r w:rsidR="001046F8" w:rsidRPr="00315D68">
        <w:rPr>
          <w:rFonts w:ascii="Arial" w:hAnsi="Arial" w:cs="Arial"/>
          <w:bCs/>
          <w:sz w:val="21"/>
          <w:szCs w:val="21"/>
        </w:rPr>
        <w:t>N. sin aplicación de ningún deducible.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 xml:space="preserve">Gastos médicos </w:t>
      </w:r>
      <w:r w:rsidR="00060C60" w:rsidRPr="00315D68">
        <w:rPr>
          <w:rFonts w:ascii="Arial" w:hAnsi="Arial" w:cs="Arial"/>
          <w:b/>
          <w:sz w:val="21"/>
          <w:szCs w:val="21"/>
        </w:rPr>
        <w:t>en e</w:t>
      </w:r>
      <w:r w:rsidRPr="00315D68">
        <w:rPr>
          <w:rFonts w:ascii="Arial" w:hAnsi="Arial" w:cs="Arial"/>
          <w:b/>
          <w:sz w:val="21"/>
          <w:szCs w:val="21"/>
        </w:rPr>
        <w:t>xceso:</w:t>
      </w:r>
      <w:r w:rsidRPr="00315D68">
        <w:rPr>
          <w:rFonts w:ascii="Arial" w:hAnsi="Arial" w:cs="Arial"/>
          <w:sz w:val="21"/>
          <w:szCs w:val="21"/>
        </w:rPr>
        <w:t xml:space="preserve"> después de agotarse la cobertura básica máxima por evento dependiendo el tipo de unidad hasta la suma máxima por evento de $ 400,000.00 M. N. y con un límite máximo anual de $2´000,000.00 M. M. sin aplicación de ningún deducible o coaseguro, se incluirán los </w:t>
      </w:r>
      <w:r w:rsidRPr="00315D68">
        <w:rPr>
          <w:rFonts w:ascii="Arial" w:hAnsi="Arial" w:cs="Arial"/>
          <w:sz w:val="21"/>
          <w:szCs w:val="21"/>
        </w:rPr>
        <w:lastRenderedPageBreak/>
        <w:t>eventos en los cuales se exceda en el vehículo el límite de pasajeros así como también el traslado de los mismos en el área de carga.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Conversiones y Adaptaciones</w:t>
      </w:r>
      <w:r w:rsidRPr="00315D68">
        <w:rPr>
          <w:rFonts w:ascii="Arial" w:hAnsi="Arial" w:cs="Arial"/>
          <w:sz w:val="21"/>
          <w:szCs w:val="21"/>
        </w:rPr>
        <w:t>: opera a primer riesgo y sin requisito de declarar sus valores hasta la suma máxima por unidad o evento de $50</w:t>
      </w:r>
      <w:r w:rsidR="00060C60" w:rsidRPr="00315D68">
        <w:rPr>
          <w:rFonts w:ascii="Arial" w:hAnsi="Arial" w:cs="Arial"/>
          <w:sz w:val="21"/>
          <w:szCs w:val="21"/>
        </w:rPr>
        <w:t>,000.00 M.</w:t>
      </w:r>
      <w:r w:rsidRPr="00315D68">
        <w:rPr>
          <w:rFonts w:ascii="Arial" w:hAnsi="Arial" w:cs="Arial"/>
          <w:sz w:val="21"/>
          <w:szCs w:val="21"/>
        </w:rPr>
        <w:t>N. y con un límite máximo anual de $5</w:t>
      </w:r>
      <w:r w:rsidR="00060C60" w:rsidRPr="00315D68">
        <w:rPr>
          <w:rFonts w:ascii="Arial" w:hAnsi="Arial" w:cs="Arial"/>
          <w:sz w:val="21"/>
          <w:szCs w:val="21"/>
        </w:rPr>
        <w:t>00,000.00 M.</w:t>
      </w:r>
      <w:r w:rsidRPr="00315D68">
        <w:rPr>
          <w:rFonts w:ascii="Arial" w:hAnsi="Arial" w:cs="Arial"/>
          <w:sz w:val="21"/>
          <w:szCs w:val="21"/>
        </w:rPr>
        <w:t>N. aplicando un deducible según cobertura afectada aplicable sobre el valor de la adaptación o conservación que resulte dañada o robada.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Responsabilidad Civil por Daños que ocasione cualquier Adaptación y/o Conversión</w:t>
      </w:r>
      <w:r w:rsidRPr="00315D68">
        <w:rPr>
          <w:rFonts w:ascii="Arial" w:hAnsi="Arial" w:cs="Arial"/>
          <w:sz w:val="21"/>
          <w:szCs w:val="21"/>
        </w:rPr>
        <w:t>, quedan amparados los daños que causen estos implementos según condiciones generales de la póliza, con límite de responsabilidad según la cobertura básica y opera en exceso hasta $</w:t>
      </w:r>
      <w:r w:rsidR="00060C60" w:rsidRPr="00315D68">
        <w:rPr>
          <w:rFonts w:ascii="Arial" w:hAnsi="Arial" w:cs="Arial"/>
          <w:sz w:val="21"/>
          <w:szCs w:val="21"/>
        </w:rPr>
        <w:t xml:space="preserve"> </w:t>
      </w:r>
      <w:r w:rsidRPr="00315D68">
        <w:rPr>
          <w:rFonts w:ascii="Arial" w:hAnsi="Arial" w:cs="Arial"/>
          <w:sz w:val="21"/>
          <w:szCs w:val="21"/>
        </w:rPr>
        <w:t>500,000.00 M. N. anual.</w:t>
      </w:r>
    </w:p>
    <w:p w:rsidR="00AD52EB" w:rsidRPr="00315D68" w:rsidRDefault="00AD52EB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La institución de seguros</w:t>
      </w:r>
      <w:r w:rsidR="00060C60" w:rsidRPr="00315D68">
        <w:rPr>
          <w:rFonts w:ascii="Arial" w:hAnsi="Arial" w:cs="Arial"/>
          <w:b/>
          <w:sz w:val="21"/>
          <w:szCs w:val="21"/>
        </w:rPr>
        <w:t xml:space="preserve"> acepta la responsabilidad civil de a</w:t>
      </w:r>
      <w:r w:rsidR="001046F8" w:rsidRPr="00315D68">
        <w:rPr>
          <w:rFonts w:ascii="Arial" w:hAnsi="Arial" w:cs="Arial"/>
          <w:b/>
          <w:sz w:val="21"/>
          <w:szCs w:val="21"/>
        </w:rPr>
        <w:t>rrastre de primer remolque sin ser declarado.</w:t>
      </w:r>
    </w:p>
    <w:p w:rsidR="00AD52EB" w:rsidRPr="00315D68" w:rsidRDefault="00AD52EB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 xml:space="preserve">La institución de seguros acepta cubrir la Responsabilidad Civil de las adaptaciones sin ser declaradas. </w:t>
      </w:r>
    </w:p>
    <w:p w:rsidR="001046F8" w:rsidRPr="00315D68" w:rsidRDefault="00060C60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Asistencia l</w:t>
      </w:r>
      <w:r w:rsidR="001046F8" w:rsidRPr="00315D68">
        <w:rPr>
          <w:rFonts w:ascii="Arial" w:hAnsi="Arial" w:cs="Arial"/>
          <w:b/>
          <w:bCs/>
          <w:sz w:val="21"/>
          <w:szCs w:val="21"/>
        </w:rPr>
        <w:t xml:space="preserve">egal: </w:t>
      </w:r>
      <w:r w:rsidR="001046F8" w:rsidRPr="00315D68">
        <w:rPr>
          <w:rFonts w:ascii="Arial" w:hAnsi="Arial" w:cs="Arial"/>
          <w:sz w:val="21"/>
          <w:szCs w:val="21"/>
        </w:rPr>
        <w:t>se incluye también dentro de la cobertura de asistencia legal, la presentación de la fianza cuando el motivo de la detención del conductor se derive por lesiones u homicidio imprudencial ocasionado a los acompañantes del vehículo asegurado y/o los daños a terceros así como daños ocasionados al vehículo oficial.</w:t>
      </w:r>
    </w:p>
    <w:p w:rsidR="001046F8" w:rsidRPr="00315D68" w:rsidRDefault="001046F8" w:rsidP="00AD52EB">
      <w:pPr>
        <w:pStyle w:val="Prrafodelista"/>
        <w:autoSpaceDE w:val="0"/>
        <w:autoSpaceDN w:val="0"/>
        <w:adjustRightInd w:val="0"/>
        <w:spacing w:before="240" w:after="0"/>
        <w:ind w:left="1440"/>
        <w:jc w:val="both"/>
        <w:rPr>
          <w:rFonts w:ascii="Arial" w:hAnsi="Arial" w:cs="Arial"/>
          <w:bCs/>
          <w:sz w:val="21"/>
          <w:szCs w:val="21"/>
        </w:rPr>
      </w:pPr>
      <w:r w:rsidRPr="00315D68">
        <w:rPr>
          <w:rFonts w:ascii="Arial" w:hAnsi="Arial" w:cs="Arial"/>
          <w:bCs/>
          <w:sz w:val="21"/>
          <w:szCs w:val="21"/>
        </w:rPr>
        <w:t>En caso de que amerite detención el vehículo asegurado, tanto en la Secretaria de Movilidad y/o Ministerio Publico, la compañía reembolsara los gastos de grúas y del total de días que esta permanezca retenida en el corralón hasta el día de su liberación.</w:t>
      </w:r>
    </w:p>
    <w:p w:rsidR="001046F8" w:rsidRPr="00315D68" w:rsidRDefault="001046F8" w:rsidP="00AD52EB">
      <w:pPr>
        <w:pStyle w:val="Default"/>
        <w:numPr>
          <w:ilvl w:val="1"/>
          <w:numId w:val="36"/>
        </w:num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A</w:t>
      </w:r>
      <w:r w:rsidR="00060C60" w:rsidRPr="00315D68">
        <w:rPr>
          <w:rFonts w:ascii="Arial" w:hAnsi="Arial" w:cs="Arial"/>
          <w:b/>
          <w:sz w:val="21"/>
          <w:szCs w:val="21"/>
        </w:rPr>
        <w:t>sistencia vial</w:t>
      </w:r>
      <w:r w:rsidR="00F902B3" w:rsidRPr="00315D68">
        <w:rPr>
          <w:rFonts w:ascii="Arial" w:hAnsi="Arial" w:cs="Arial"/>
          <w:b/>
          <w:sz w:val="21"/>
          <w:szCs w:val="21"/>
        </w:rPr>
        <w:t>:</w:t>
      </w:r>
      <w:r w:rsidR="00F902B3" w:rsidRPr="00315D68">
        <w:rPr>
          <w:rFonts w:ascii="Arial" w:hAnsi="Arial" w:cs="Arial"/>
          <w:sz w:val="21"/>
          <w:szCs w:val="21"/>
        </w:rPr>
        <w:t xml:space="preserve"> t</w:t>
      </w:r>
      <w:r w:rsidRPr="00315D68">
        <w:rPr>
          <w:rFonts w:ascii="Arial" w:hAnsi="Arial" w:cs="Arial"/>
          <w:sz w:val="21"/>
          <w:szCs w:val="21"/>
        </w:rPr>
        <w:t xml:space="preserve">odo el parque vehicular deberá contar con la cláusula </w:t>
      </w:r>
      <w:r w:rsidR="00060C60" w:rsidRPr="00315D68">
        <w:rPr>
          <w:rFonts w:ascii="Arial" w:hAnsi="Arial" w:cs="Arial"/>
          <w:b/>
          <w:sz w:val="21"/>
          <w:szCs w:val="21"/>
          <w:u w:val="single"/>
        </w:rPr>
        <w:t>asistencia v</w:t>
      </w:r>
      <w:r w:rsidRPr="00315D68">
        <w:rPr>
          <w:rFonts w:ascii="Arial" w:hAnsi="Arial" w:cs="Arial"/>
          <w:b/>
          <w:sz w:val="21"/>
          <w:szCs w:val="21"/>
          <w:u w:val="single"/>
        </w:rPr>
        <w:t>ial</w:t>
      </w:r>
      <w:r w:rsidR="00060C60" w:rsidRPr="00315D68">
        <w:rPr>
          <w:rFonts w:ascii="Arial" w:hAnsi="Arial" w:cs="Arial"/>
          <w:sz w:val="21"/>
          <w:szCs w:val="21"/>
        </w:rPr>
        <w:t>, l</w:t>
      </w:r>
      <w:r w:rsidRPr="00315D68">
        <w:rPr>
          <w:rFonts w:ascii="Arial" w:hAnsi="Arial" w:cs="Arial"/>
          <w:sz w:val="21"/>
          <w:szCs w:val="21"/>
        </w:rPr>
        <w:t xml:space="preserve">a compañía aseguradora acepta proporcionar el servicio de asistencia vial cada vez que el </w:t>
      </w:r>
      <w:r w:rsidR="00060C60" w:rsidRPr="00315D68">
        <w:rPr>
          <w:rFonts w:ascii="Arial" w:hAnsi="Arial" w:cs="Arial"/>
          <w:sz w:val="21"/>
          <w:szCs w:val="21"/>
        </w:rPr>
        <w:t xml:space="preserve">los vehículos a cargo del </w:t>
      </w:r>
      <w:r w:rsidR="00060C60" w:rsidRPr="00315D68">
        <w:rPr>
          <w:rFonts w:ascii="Arial" w:hAnsi="Arial" w:cs="Arial"/>
          <w:bCs/>
          <w:sz w:val="21"/>
          <w:szCs w:val="21"/>
        </w:rPr>
        <w:t>gobierno Municipal</w:t>
      </w:r>
      <w:r w:rsidRPr="00315D68">
        <w:rPr>
          <w:rFonts w:ascii="Arial" w:hAnsi="Arial" w:cs="Arial"/>
          <w:b/>
          <w:bCs/>
          <w:sz w:val="21"/>
          <w:szCs w:val="21"/>
        </w:rPr>
        <w:t xml:space="preserve"> </w:t>
      </w:r>
      <w:r w:rsidR="00060C60" w:rsidRPr="00315D68">
        <w:rPr>
          <w:rFonts w:ascii="Arial" w:hAnsi="Arial" w:cs="Arial"/>
          <w:sz w:val="21"/>
          <w:szCs w:val="21"/>
        </w:rPr>
        <w:t>lo</w:t>
      </w:r>
      <w:r w:rsidRPr="00315D68">
        <w:rPr>
          <w:rFonts w:ascii="Arial" w:hAnsi="Arial" w:cs="Arial"/>
          <w:sz w:val="21"/>
          <w:szCs w:val="21"/>
        </w:rPr>
        <w:t xml:space="preserve"> requiera</w:t>
      </w:r>
      <w:r w:rsidR="00060C60" w:rsidRPr="00315D68">
        <w:rPr>
          <w:rFonts w:ascii="Arial" w:hAnsi="Arial" w:cs="Arial"/>
          <w:sz w:val="21"/>
          <w:szCs w:val="21"/>
        </w:rPr>
        <w:t>n</w:t>
      </w:r>
      <w:r w:rsidRPr="00315D68">
        <w:rPr>
          <w:rFonts w:ascii="Arial" w:hAnsi="Arial" w:cs="Arial"/>
          <w:sz w:val="21"/>
          <w:szCs w:val="21"/>
        </w:rPr>
        <w:t>, co</w:t>
      </w:r>
      <w:r w:rsidR="00060C60" w:rsidRPr="00315D68">
        <w:rPr>
          <w:rFonts w:ascii="Arial" w:hAnsi="Arial" w:cs="Arial"/>
          <w:sz w:val="21"/>
          <w:szCs w:val="21"/>
        </w:rPr>
        <w:t>nforme a las necesidades de estos</w:t>
      </w:r>
      <w:r w:rsidRPr="00315D68">
        <w:rPr>
          <w:rFonts w:ascii="Arial" w:hAnsi="Arial" w:cs="Arial"/>
          <w:sz w:val="21"/>
          <w:szCs w:val="21"/>
        </w:rPr>
        <w:t>, dentro de la República Mexicana, de manera ilimitada y sin límite de kilometraje.</w:t>
      </w:r>
    </w:p>
    <w:p w:rsidR="001046F8" w:rsidRPr="00315D68" w:rsidRDefault="00060C60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Responsabilidad civil v</w:t>
      </w:r>
      <w:r w:rsidR="001046F8" w:rsidRPr="00315D68">
        <w:rPr>
          <w:rFonts w:ascii="Arial" w:hAnsi="Arial" w:cs="Arial"/>
          <w:b/>
          <w:bCs/>
          <w:sz w:val="21"/>
          <w:szCs w:val="21"/>
        </w:rPr>
        <w:t xml:space="preserve">iajero: </w:t>
      </w:r>
      <w:r w:rsidR="001046F8" w:rsidRPr="00315D68">
        <w:rPr>
          <w:rFonts w:ascii="Arial" w:hAnsi="Arial" w:cs="Arial"/>
          <w:sz w:val="21"/>
          <w:szCs w:val="21"/>
        </w:rPr>
        <w:t>para cubrir todos los vehículos de pasajeros con base en los límites exigidos por las autoridades (5,000 U.M.A).</w:t>
      </w:r>
    </w:p>
    <w:p w:rsidR="001046F8" w:rsidRPr="00315D68" w:rsidRDefault="00F902B3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Cobro del d</w:t>
      </w:r>
      <w:r w:rsidR="001046F8" w:rsidRPr="00315D68">
        <w:rPr>
          <w:rFonts w:ascii="Arial" w:hAnsi="Arial" w:cs="Arial"/>
          <w:b/>
          <w:sz w:val="21"/>
          <w:szCs w:val="21"/>
        </w:rPr>
        <w:t>educible de manera proporcional</w:t>
      </w:r>
      <w:r w:rsidR="00F312BA" w:rsidRPr="00315D68">
        <w:rPr>
          <w:rFonts w:ascii="Arial" w:hAnsi="Arial" w:cs="Arial"/>
          <w:sz w:val="21"/>
          <w:szCs w:val="21"/>
        </w:rPr>
        <w:t>:</w:t>
      </w:r>
      <w:r w:rsidR="001046F8" w:rsidRPr="00315D68">
        <w:rPr>
          <w:rFonts w:ascii="Arial" w:hAnsi="Arial" w:cs="Arial"/>
          <w:sz w:val="21"/>
          <w:szCs w:val="21"/>
        </w:rPr>
        <w:t xml:space="preserve"> cuando la compañía realice recuperaciones a terceros ya sean en efectivo o bien por compañías de seguros y que estos sean proporcionales a la responsabilidad acordada por los ajustadores o por las autoridades competentes.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Responsabilidad Civil Cruzada</w:t>
      </w:r>
      <w:r w:rsidR="00F312BA" w:rsidRPr="00315D68">
        <w:rPr>
          <w:rFonts w:ascii="Arial" w:hAnsi="Arial" w:cs="Arial"/>
          <w:sz w:val="21"/>
          <w:szCs w:val="21"/>
        </w:rPr>
        <w:t>: l</w:t>
      </w:r>
      <w:r w:rsidRPr="00315D68">
        <w:rPr>
          <w:rFonts w:ascii="Arial" w:hAnsi="Arial" w:cs="Arial"/>
          <w:sz w:val="21"/>
          <w:szCs w:val="21"/>
        </w:rPr>
        <w:t>a compañía aseguradora acepta cubrir los daños que se causen entre sí, asegurados, sus empleados y funcionarios, por lo que se pagará por parte del asegurado un solo deducible, aplicándose el más bajo de las unidades involucradas (RC Cruzada).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En todos los vehículos quedan amparados los daños causados por actos vandálicos y/o delincuencia organizada. Cubriendo hasta un deducible independientemente al número de impactos o proyectiles de arma de fuego.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Los siniestros de maquinaria y/o equipo se atenderán por los ajustadores de siniestros autos y sin necesidad de ningún trámite especial.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Se podrán solicitar hasta dos arrastres durante la vigencia sin costo adicional por cada unidad no importando tonelaje ni dimensiones, ni si la unidad se encuentra cargada en su totalidad.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lastRenderedPageBreak/>
        <w:t>Cláusula de Errores u Omisiones, para declaraciones o descripciones y altas o bajas de unidades.</w:t>
      </w:r>
    </w:p>
    <w:p w:rsidR="001046F8" w:rsidRPr="00315D68" w:rsidRDefault="00F312BA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La cobertura de gastos médicos por o</w:t>
      </w:r>
      <w:r w:rsidR="001046F8" w:rsidRPr="00315D68">
        <w:rPr>
          <w:rFonts w:ascii="Arial" w:hAnsi="Arial" w:cs="Arial"/>
          <w:sz w:val="21"/>
          <w:szCs w:val="21"/>
        </w:rPr>
        <w:t>cupante, se</w:t>
      </w:r>
      <w:r w:rsidRPr="00315D68">
        <w:rPr>
          <w:rFonts w:ascii="Arial" w:hAnsi="Arial" w:cs="Arial"/>
          <w:sz w:val="21"/>
          <w:szCs w:val="21"/>
        </w:rPr>
        <w:t xml:space="preserve"> hará conforme a lo establecido en el anexo 3, en el rubro de “pasajeros”.</w:t>
      </w:r>
      <w:r w:rsidR="001046F8" w:rsidRPr="00315D68">
        <w:rPr>
          <w:rFonts w:ascii="Arial" w:hAnsi="Arial" w:cs="Arial"/>
          <w:sz w:val="21"/>
          <w:szCs w:val="21"/>
        </w:rPr>
        <w:t xml:space="preserve"> 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Todas las coberturas presentes aplican indistintamente se trate de</w:t>
      </w:r>
      <w:r w:rsidR="00F312BA" w:rsidRPr="00315D68">
        <w:rPr>
          <w:rFonts w:ascii="Arial" w:hAnsi="Arial" w:cs="Arial"/>
          <w:sz w:val="21"/>
          <w:szCs w:val="21"/>
        </w:rPr>
        <w:t xml:space="preserve"> maquinaria pesada o equipo de c</w:t>
      </w:r>
      <w:r w:rsidRPr="00315D68">
        <w:rPr>
          <w:rFonts w:ascii="Arial" w:hAnsi="Arial" w:cs="Arial"/>
          <w:sz w:val="21"/>
          <w:szCs w:val="21"/>
        </w:rPr>
        <w:t>ontratistas.</w:t>
      </w:r>
    </w:p>
    <w:p w:rsidR="001046F8" w:rsidRPr="00315D68" w:rsidRDefault="001046F8" w:rsidP="00AD52EB">
      <w:pPr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Quedan amparados los daños ocasionados a los vehículos cuando circulen fuera de caminos.</w:t>
      </w:r>
    </w:p>
    <w:p w:rsidR="00F312BA" w:rsidRPr="00315D68" w:rsidRDefault="00F312BA" w:rsidP="00AD52EB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No será requisito indispensable el contar con la licencia de conducir vigente especializada en los casos que se requiera, ejemplo unidades de emergencia y vehículos de carga pesada así como transporte de personal.</w:t>
      </w:r>
    </w:p>
    <w:p w:rsidR="00F312BA" w:rsidRPr="00315D68" w:rsidRDefault="00F312BA" w:rsidP="00AD52EB">
      <w:pPr>
        <w:pStyle w:val="Prrafodelista"/>
        <w:spacing w:before="240"/>
        <w:rPr>
          <w:rFonts w:ascii="Arial" w:hAnsi="Arial" w:cs="Arial"/>
          <w:b/>
          <w:bCs/>
          <w:sz w:val="21"/>
          <w:szCs w:val="21"/>
        </w:rPr>
      </w:pPr>
    </w:p>
    <w:p w:rsidR="001046F8" w:rsidRPr="00315D68" w:rsidRDefault="00F312BA" w:rsidP="00AD52E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Reporte de siniestralidad</w:t>
      </w:r>
      <w:r w:rsidR="001E32CA" w:rsidRPr="00315D68">
        <w:rPr>
          <w:rFonts w:ascii="Arial" w:hAnsi="Arial" w:cs="Arial"/>
          <w:b/>
          <w:bCs/>
          <w:sz w:val="21"/>
          <w:szCs w:val="21"/>
        </w:rPr>
        <w:t>.</w:t>
      </w:r>
    </w:p>
    <w:p w:rsidR="001E32CA" w:rsidRPr="00315D68" w:rsidRDefault="001E32CA" w:rsidP="00AD52EB">
      <w:pPr>
        <w:pStyle w:val="Prrafodelista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</w:p>
    <w:p w:rsidR="001E32CA" w:rsidRPr="00315D68" w:rsidRDefault="001E32CA" w:rsidP="00AD52EB">
      <w:pPr>
        <w:pStyle w:val="Prrafodelista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La institución de seguros, se obliga a presentar reportes mensuales de siniestralidad, contemplando: número de póliza, sección afectada, riesgo afectado, monto reservado, siniestro pagado, siniestros pendientes por pagar, así como cada vez que le sea solicitada.</w:t>
      </w:r>
    </w:p>
    <w:p w:rsidR="001E32CA" w:rsidRPr="00315D68" w:rsidRDefault="001E32CA" w:rsidP="00AD52EB">
      <w:pPr>
        <w:pStyle w:val="Prrafodelista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1"/>
          <w:szCs w:val="21"/>
        </w:rPr>
      </w:pPr>
    </w:p>
    <w:p w:rsidR="001E32CA" w:rsidRPr="00315D68" w:rsidRDefault="001E32CA" w:rsidP="00AD52E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1"/>
          <w:szCs w:val="21"/>
        </w:rPr>
      </w:pPr>
      <w:r w:rsidRPr="00315D68">
        <w:rPr>
          <w:rFonts w:ascii="Arial" w:hAnsi="Arial" w:cs="Arial"/>
          <w:b/>
          <w:bCs/>
          <w:sz w:val="21"/>
          <w:szCs w:val="21"/>
        </w:rPr>
        <w:t>Vehículos en Comodato.</w:t>
      </w:r>
    </w:p>
    <w:p w:rsidR="001E32CA" w:rsidRPr="00315D68" w:rsidRDefault="001E32CA" w:rsidP="00AD52EB">
      <w:pPr>
        <w:pStyle w:val="Prrafodelista"/>
        <w:spacing w:before="240"/>
        <w:jc w:val="both"/>
        <w:rPr>
          <w:rFonts w:ascii="Arial" w:hAnsi="Arial" w:cs="Arial"/>
          <w:smallCaps/>
          <w:sz w:val="21"/>
          <w:szCs w:val="21"/>
        </w:rPr>
      </w:pPr>
    </w:p>
    <w:p w:rsidR="00765468" w:rsidRPr="00315D68" w:rsidRDefault="001E32CA" w:rsidP="00AD52EB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L</w:t>
      </w:r>
      <w:r w:rsidR="00765468" w:rsidRPr="00315D68">
        <w:rPr>
          <w:rFonts w:ascii="Arial" w:hAnsi="Arial" w:cs="Arial"/>
          <w:sz w:val="21"/>
          <w:szCs w:val="21"/>
        </w:rPr>
        <w:t>a póliza de l</w:t>
      </w:r>
      <w:r w:rsidRPr="00315D68">
        <w:rPr>
          <w:rFonts w:ascii="Arial" w:hAnsi="Arial" w:cs="Arial"/>
          <w:sz w:val="21"/>
          <w:szCs w:val="21"/>
        </w:rPr>
        <w:t>os vehículos marcados como “Comodato”</w:t>
      </w:r>
      <w:r w:rsidR="00765468" w:rsidRPr="00315D68">
        <w:rPr>
          <w:rFonts w:ascii="Arial" w:hAnsi="Arial" w:cs="Arial"/>
          <w:sz w:val="21"/>
          <w:szCs w:val="21"/>
        </w:rPr>
        <w:t>, así como los que se agreguen al parque vehicular bajo esa modalidad, deberá contener la siguiente leyenda:</w:t>
      </w:r>
    </w:p>
    <w:p w:rsidR="00765468" w:rsidRPr="00315D68" w:rsidRDefault="00765468" w:rsidP="00AD52EB">
      <w:pPr>
        <w:pStyle w:val="Prrafodelista"/>
        <w:spacing w:before="240"/>
        <w:rPr>
          <w:rFonts w:ascii="Arial" w:hAnsi="Arial" w:cs="Arial"/>
          <w:sz w:val="21"/>
          <w:szCs w:val="21"/>
        </w:rPr>
      </w:pPr>
    </w:p>
    <w:p w:rsidR="001E32CA" w:rsidRPr="00315D68" w:rsidRDefault="00765468" w:rsidP="00AD52EB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“Se hace constar que en caso de siniestro del vehículo amparado por la presente póliza y que amerite indemnización, se pagará preferentemente hasta el interés que le corresponda a: Secretaria de Planeación, Administración y Finanzas del Gobierno del Estado de Jalisco.”</w:t>
      </w:r>
    </w:p>
    <w:p w:rsidR="00765468" w:rsidRPr="00315D68" w:rsidRDefault="00765468" w:rsidP="00AD52EB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</w:p>
    <w:p w:rsidR="00DC723B" w:rsidRPr="00315D68" w:rsidRDefault="00DC723B" w:rsidP="00DC723B">
      <w:pPr>
        <w:pStyle w:val="Prrafodelista"/>
        <w:numPr>
          <w:ilvl w:val="0"/>
          <w:numId w:val="36"/>
        </w:numPr>
        <w:spacing w:before="240"/>
        <w:jc w:val="both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Adaptaciones.</w:t>
      </w:r>
    </w:p>
    <w:p w:rsidR="00DC723B" w:rsidRPr="00315D68" w:rsidRDefault="00DC723B" w:rsidP="00DC723B">
      <w:pPr>
        <w:pStyle w:val="Prrafodelista"/>
        <w:spacing w:before="240"/>
        <w:jc w:val="both"/>
        <w:rPr>
          <w:rFonts w:ascii="Arial" w:hAnsi="Arial" w:cs="Arial"/>
          <w:b/>
          <w:sz w:val="21"/>
          <w:szCs w:val="21"/>
        </w:rPr>
      </w:pPr>
    </w:p>
    <w:p w:rsidR="00DC723B" w:rsidRPr="00315D68" w:rsidRDefault="00DC723B" w:rsidP="00DC723B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 xml:space="preserve">El valor de las adaptaciones presentadas en el anexo 3, están basadas en el valor de la factura, es decir, al momento </w:t>
      </w:r>
      <w:r w:rsidR="00003B5C" w:rsidRPr="00315D68">
        <w:rPr>
          <w:rFonts w:ascii="Arial" w:hAnsi="Arial" w:cs="Arial"/>
          <w:sz w:val="21"/>
          <w:szCs w:val="21"/>
        </w:rPr>
        <w:t>de la compra.</w:t>
      </w:r>
    </w:p>
    <w:p w:rsidR="008A463A" w:rsidRPr="00315D68" w:rsidRDefault="008A463A" w:rsidP="00DC723B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</w:p>
    <w:p w:rsidR="008A463A" w:rsidRDefault="00315D68" w:rsidP="008A463A">
      <w:pPr>
        <w:pStyle w:val="Prrafodelista"/>
        <w:numPr>
          <w:ilvl w:val="0"/>
          <w:numId w:val="36"/>
        </w:numPr>
        <w:spacing w:before="240"/>
        <w:jc w:val="both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Presentar una lista de talleres, agencias y hospitales con los que tengan convenios para la atención de siniestros.</w:t>
      </w:r>
    </w:p>
    <w:p w:rsidR="00315D68" w:rsidRPr="00315D68" w:rsidRDefault="00315D68" w:rsidP="00315D68">
      <w:pPr>
        <w:pStyle w:val="Prrafodelista"/>
        <w:spacing w:before="240"/>
        <w:jc w:val="both"/>
        <w:rPr>
          <w:rFonts w:ascii="Arial" w:hAnsi="Arial" w:cs="Arial"/>
          <w:b/>
          <w:sz w:val="21"/>
          <w:szCs w:val="21"/>
        </w:rPr>
      </w:pPr>
    </w:p>
    <w:p w:rsidR="00315D68" w:rsidRDefault="00315D68" w:rsidP="008A463A">
      <w:pPr>
        <w:pStyle w:val="Prrafodelista"/>
        <w:numPr>
          <w:ilvl w:val="0"/>
          <w:numId w:val="36"/>
        </w:numPr>
        <w:spacing w:before="240"/>
        <w:jc w:val="both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Manifestar si cuentan con ajustadores de seguros en el municipio.</w:t>
      </w:r>
    </w:p>
    <w:p w:rsidR="00315D68" w:rsidRPr="00315D68" w:rsidRDefault="00315D68" w:rsidP="00315D68">
      <w:pPr>
        <w:pStyle w:val="Prrafodelista"/>
        <w:rPr>
          <w:rFonts w:ascii="Arial" w:hAnsi="Arial" w:cs="Arial"/>
          <w:b/>
          <w:sz w:val="21"/>
          <w:szCs w:val="21"/>
        </w:rPr>
      </w:pPr>
    </w:p>
    <w:p w:rsidR="00315D68" w:rsidRPr="00315D68" w:rsidRDefault="00315D68" w:rsidP="008A463A">
      <w:pPr>
        <w:pStyle w:val="Prrafodelista"/>
        <w:numPr>
          <w:ilvl w:val="0"/>
          <w:numId w:val="36"/>
        </w:numPr>
        <w:spacing w:before="240"/>
        <w:jc w:val="both"/>
        <w:rPr>
          <w:rFonts w:ascii="Arial" w:hAnsi="Arial" w:cs="Arial"/>
          <w:b/>
          <w:sz w:val="21"/>
          <w:szCs w:val="21"/>
        </w:rPr>
      </w:pPr>
      <w:r w:rsidRPr="00315D68">
        <w:rPr>
          <w:rFonts w:ascii="Arial" w:hAnsi="Arial" w:cs="Arial"/>
          <w:b/>
          <w:sz w:val="21"/>
          <w:szCs w:val="21"/>
        </w:rPr>
        <w:t>Anexo 3</w:t>
      </w:r>
    </w:p>
    <w:p w:rsidR="008A463A" w:rsidRPr="00315D68" w:rsidRDefault="008A463A" w:rsidP="008A463A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</w:p>
    <w:p w:rsidR="008A463A" w:rsidRPr="00315D68" w:rsidRDefault="008A463A" w:rsidP="008A463A">
      <w:pPr>
        <w:pStyle w:val="Prrafodelista"/>
        <w:spacing w:before="240"/>
        <w:jc w:val="both"/>
        <w:rPr>
          <w:rFonts w:ascii="Arial" w:hAnsi="Arial" w:cs="Arial"/>
          <w:sz w:val="21"/>
          <w:szCs w:val="21"/>
        </w:rPr>
      </w:pPr>
      <w:r w:rsidRPr="00315D68">
        <w:rPr>
          <w:rFonts w:ascii="Arial" w:hAnsi="Arial" w:cs="Arial"/>
          <w:sz w:val="21"/>
          <w:szCs w:val="21"/>
        </w:rPr>
        <w:t>El listado de vehículos contenidos en el anexo 3 se deberá solicitar a la Dirección de Adquisiciones y Proveeduría mediante correo electrónico, previa acreditación como agente de seguros. A razón de que el mismo contiene datos sensibles del padrón vehicular del gobierno municipal.</w:t>
      </w:r>
    </w:p>
    <w:sectPr w:rsidR="008A463A" w:rsidRPr="00315D68" w:rsidSect="0079328B">
      <w:footerReference w:type="default" r:id="rId8"/>
      <w:headerReference w:type="first" r:id="rId9"/>
      <w:footerReference w:type="first" r:id="rId10"/>
      <w:pgSz w:w="12242" w:h="19278" w:code="5"/>
      <w:pgMar w:top="1193" w:right="851" w:bottom="1531" w:left="2665" w:header="680" w:footer="794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7A" w:rsidRDefault="00BC617A" w:rsidP="00713A44">
      <w:pPr>
        <w:spacing w:after="0" w:line="240" w:lineRule="auto"/>
      </w:pPr>
      <w:r>
        <w:separator/>
      </w:r>
    </w:p>
  </w:endnote>
  <w:endnote w:type="continuationSeparator" w:id="0">
    <w:p w:rsidR="00BC617A" w:rsidRDefault="00BC617A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EastAsia" w:hAnsi="Arial" w:cs="Arial"/>
      </w:rPr>
      <w:id w:val="1629510019"/>
      <w:docPartObj>
        <w:docPartGallery w:val="Page Numbers (Bottom of Page)"/>
        <w:docPartUnique/>
      </w:docPartObj>
    </w:sdtPr>
    <w:sdtEndPr>
      <w:rPr>
        <w:rFonts w:eastAsiaTheme="majorEastAsia"/>
        <w:color w:val="5B9BD5" w:themeColor="accent1"/>
      </w:rPr>
    </w:sdtEndPr>
    <w:sdtContent>
      <w:p w:rsidR="00EE2456" w:rsidRPr="00253912" w:rsidRDefault="00BA18FB" w:rsidP="00F32F55">
        <w:pPr>
          <w:pStyle w:val="Piedepgina"/>
          <w:jc w:val="center"/>
          <w:rPr>
            <w:rFonts w:ascii="Arial" w:eastAsiaTheme="majorEastAsia" w:hAnsi="Arial" w:cs="Arial"/>
            <w:color w:val="5B9BD5" w:themeColor="accent1"/>
          </w:rPr>
        </w:pPr>
        <w:r w:rsidRPr="00253912">
          <w:rPr>
            <w:rFonts w:ascii="Arial" w:eastAsiaTheme="minorEastAsia" w:hAnsi="Arial" w:cs="Arial"/>
          </w:rPr>
          <w:fldChar w:fldCharType="begin"/>
        </w:r>
        <w:r w:rsidRPr="00253912">
          <w:rPr>
            <w:rFonts w:ascii="Arial" w:hAnsi="Arial" w:cs="Arial"/>
          </w:rPr>
          <w:instrText>PAGE   \* MERGEFORMAT</w:instrText>
        </w:r>
        <w:r w:rsidRPr="00253912">
          <w:rPr>
            <w:rFonts w:ascii="Arial" w:eastAsiaTheme="minorEastAsia" w:hAnsi="Arial" w:cs="Arial"/>
          </w:rPr>
          <w:fldChar w:fldCharType="separate"/>
        </w:r>
        <w:r w:rsidR="00315D68" w:rsidRPr="00315D68">
          <w:rPr>
            <w:rFonts w:ascii="Arial" w:eastAsiaTheme="majorEastAsia" w:hAnsi="Arial" w:cs="Arial"/>
            <w:noProof/>
            <w:lang w:val="es-ES"/>
          </w:rPr>
          <w:t>13</w:t>
        </w:r>
        <w:r w:rsidRPr="00253912">
          <w:rPr>
            <w:rFonts w:ascii="Arial" w:eastAsiaTheme="majorEastAsia" w:hAnsi="Arial" w:cs="Arial"/>
          </w:rPr>
          <w:fldChar w:fldCharType="end"/>
        </w:r>
        <w:r w:rsidRPr="00253912">
          <w:rPr>
            <w:rFonts w:ascii="Arial" w:eastAsiaTheme="majorEastAsia" w:hAnsi="Arial" w:cs="Arial"/>
          </w:rPr>
          <w:t xml:space="preserve">. </w:t>
        </w:r>
        <w:r w:rsidR="00F32F55">
          <w:rPr>
            <w:rFonts w:ascii="Arial" w:eastAsiaTheme="majorEastAsia" w:hAnsi="Arial" w:cs="Arial"/>
          </w:rPr>
          <w:t xml:space="preserve">Anexo 1 de las bases. Especificaciones. </w:t>
        </w:r>
        <w:r w:rsidR="00F32F55" w:rsidRPr="00253912">
          <w:rPr>
            <w:rFonts w:ascii="Arial" w:hAnsi="Arial" w:cs="Arial"/>
          </w:rPr>
          <w:t>Licit</w:t>
        </w:r>
        <w:r w:rsidR="00F32F55">
          <w:rPr>
            <w:rFonts w:ascii="Arial" w:hAnsi="Arial" w:cs="Arial"/>
          </w:rPr>
          <w:t>ación Pública Nacional LPCC/2019/10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20" w:rsidRPr="00253912" w:rsidRDefault="00BC617A" w:rsidP="002D7320">
    <w:pPr>
      <w:pStyle w:val="Piedepgina"/>
      <w:jc w:val="center"/>
      <w:rPr>
        <w:rFonts w:ascii="Arial" w:eastAsiaTheme="majorEastAsia" w:hAnsi="Arial" w:cs="Arial"/>
        <w:color w:val="5B9BD5" w:themeColor="accent1"/>
      </w:rPr>
    </w:pPr>
    <w:sdt>
      <w:sdtPr>
        <w:rPr>
          <w:rFonts w:ascii="Arial" w:eastAsiaTheme="minorEastAsia" w:hAnsi="Arial" w:cs="Arial"/>
        </w:rPr>
        <w:id w:val="1571235650"/>
        <w:docPartObj>
          <w:docPartGallery w:val="Page Numbers (Bottom of Page)"/>
          <w:docPartUnique/>
        </w:docPartObj>
      </w:sdtPr>
      <w:sdtEndPr>
        <w:rPr>
          <w:rFonts w:eastAsiaTheme="majorEastAsia"/>
          <w:color w:val="5B9BD5" w:themeColor="accent1"/>
        </w:rPr>
      </w:sdtEndPr>
      <w:sdtContent>
        <w:r w:rsidR="002D7320" w:rsidRPr="00253912">
          <w:rPr>
            <w:rFonts w:ascii="Arial" w:eastAsiaTheme="minorEastAsia" w:hAnsi="Arial" w:cs="Arial"/>
          </w:rPr>
          <w:fldChar w:fldCharType="begin"/>
        </w:r>
        <w:r w:rsidR="002D7320" w:rsidRPr="00253912">
          <w:rPr>
            <w:rFonts w:ascii="Arial" w:hAnsi="Arial" w:cs="Arial"/>
          </w:rPr>
          <w:instrText>PAGE   \* MERGEFORMAT</w:instrText>
        </w:r>
        <w:r w:rsidR="002D7320" w:rsidRPr="00253912">
          <w:rPr>
            <w:rFonts w:ascii="Arial" w:eastAsiaTheme="minorEastAsia" w:hAnsi="Arial" w:cs="Arial"/>
          </w:rPr>
          <w:fldChar w:fldCharType="separate"/>
        </w:r>
        <w:r w:rsidR="00315D68" w:rsidRPr="00315D68">
          <w:rPr>
            <w:rFonts w:ascii="Arial" w:eastAsiaTheme="majorEastAsia" w:hAnsi="Arial" w:cs="Arial"/>
            <w:noProof/>
            <w:lang w:val="es-ES"/>
          </w:rPr>
          <w:t>11</w:t>
        </w:r>
        <w:r w:rsidR="002D7320" w:rsidRPr="00253912">
          <w:rPr>
            <w:rFonts w:ascii="Arial" w:eastAsiaTheme="majorEastAsia" w:hAnsi="Arial" w:cs="Arial"/>
          </w:rPr>
          <w:fldChar w:fldCharType="end"/>
        </w:r>
        <w:r w:rsidR="002D7320" w:rsidRPr="00253912">
          <w:rPr>
            <w:rFonts w:ascii="Arial" w:eastAsiaTheme="majorEastAsia" w:hAnsi="Arial" w:cs="Arial"/>
          </w:rPr>
          <w:t xml:space="preserve">. </w:t>
        </w:r>
        <w:r w:rsidR="002D7320">
          <w:rPr>
            <w:rFonts w:ascii="Arial" w:eastAsiaTheme="majorEastAsia" w:hAnsi="Arial" w:cs="Arial"/>
          </w:rPr>
          <w:t xml:space="preserve">Anexo 1 de las </w:t>
        </w:r>
        <w:r w:rsidR="00F32F55">
          <w:rPr>
            <w:rFonts w:ascii="Arial" w:eastAsiaTheme="majorEastAsia" w:hAnsi="Arial" w:cs="Arial"/>
          </w:rPr>
          <w:t>bases. Especificaciones</w:t>
        </w:r>
        <w:r w:rsidR="002D7320">
          <w:rPr>
            <w:rFonts w:ascii="Arial" w:eastAsiaTheme="majorEastAsia" w:hAnsi="Arial" w:cs="Arial"/>
          </w:rPr>
          <w:t xml:space="preserve">. </w:t>
        </w:r>
        <w:r w:rsidR="002D7320" w:rsidRPr="00253912">
          <w:rPr>
            <w:rFonts w:ascii="Arial" w:hAnsi="Arial" w:cs="Arial"/>
          </w:rPr>
          <w:t>Licit</w:t>
        </w:r>
        <w:r w:rsidR="00F32F55">
          <w:rPr>
            <w:rFonts w:ascii="Arial" w:hAnsi="Arial" w:cs="Arial"/>
          </w:rPr>
          <w:t xml:space="preserve">ación Pública Nacional </w:t>
        </w:r>
        <w:r w:rsidR="001046F8">
          <w:rPr>
            <w:rFonts w:ascii="Arial" w:hAnsi="Arial" w:cs="Arial"/>
          </w:rPr>
          <w:t>LPCC/2019/10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7A" w:rsidRDefault="00BC617A" w:rsidP="00713A44">
      <w:pPr>
        <w:spacing w:after="0" w:line="240" w:lineRule="auto"/>
      </w:pPr>
      <w:r>
        <w:separator/>
      </w:r>
    </w:p>
  </w:footnote>
  <w:footnote w:type="continuationSeparator" w:id="0">
    <w:p w:rsidR="00BC617A" w:rsidRDefault="00BC617A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AD" w:rsidRPr="0079328B" w:rsidRDefault="00A17DAD" w:rsidP="00A17DAD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79328B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A17DAD" w:rsidRPr="00315D68" w:rsidRDefault="00A17DAD" w:rsidP="00315D68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both"/>
      <w:rPr>
        <w:rFonts w:ascii="Californian FB" w:hAnsi="Californian FB"/>
        <w:b/>
        <w:sz w:val="24"/>
        <w:szCs w:val="24"/>
        <w:lang w:eastAsia="es-MX"/>
      </w:rPr>
    </w:pPr>
  </w:p>
  <w:p w:rsidR="00A17DAD" w:rsidRPr="00315D68" w:rsidRDefault="00A17DAD" w:rsidP="00315D68">
    <w:pPr>
      <w:pStyle w:val="Sinespaciado"/>
      <w:spacing w:line="276" w:lineRule="auto"/>
      <w:jc w:val="both"/>
      <w:rPr>
        <w:rFonts w:ascii="Arial" w:hAnsi="Arial" w:cs="Arial"/>
        <w:b/>
        <w:smallCaps/>
        <w:sz w:val="24"/>
        <w:szCs w:val="24"/>
        <w:lang w:val="es-ES_tradnl"/>
      </w:rPr>
    </w:pPr>
    <w:r w:rsidRPr="00315D68">
      <w:rPr>
        <w:rFonts w:ascii="Arial" w:hAnsi="Arial" w:cs="Arial"/>
        <w:b/>
        <w:smallCaps/>
        <w:sz w:val="24"/>
        <w:szCs w:val="24"/>
        <w:lang w:val="es-ES_tradnl"/>
      </w:rPr>
      <w:t>Licitación Pública Nacional (LPCC/2019/10) para la Contratación de Pólizas de Seguros para el parque vehicular del municipio de Ocotlán, Jalisco.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C45"/>
      </v:shape>
    </w:pict>
  </w:numPicBullet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42D27"/>
    <w:multiLevelType w:val="hybridMultilevel"/>
    <w:tmpl w:val="F7DA0B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21F01DD5"/>
    <w:multiLevelType w:val="hybridMultilevel"/>
    <w:tmpl w:val="60B0DAC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F41DA"/>
    <w:multiLevelType w:val="hybridMultilevel"/>
    <w:tmpl w:val="866435F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0C53"/>
    <w:multiLevelType w:val="hybridMultilevel"/>
    <w:tmpl w:val="1EE0FAF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B12FE"/>
    <w:multiLevelType w:val="hybridMultilevel"/>
    <w:tmpl w:val="A94C3244"/>
    <w:lvl w:ilvl="0" w:tplc="D0B06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9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07136"/>
    <w:multiLevelType w:val="hybridMultilevel"/>
    <w:tmpl w:val="F3301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9E26E0E"/>
    <w:multiLevelType w:val="hybridMultilevel"/>
    <w:tmpl w:val="D6E45F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8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E052DF8"/>
    <w:multiLevelType w:val="hybridMultilevel"/>
    <w:tmpl w:val="58EE30A2"/>
    <w:lvl w:ilvl="0" w:tplc="3FE6B82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81526"/>
    <w:multiLevelType w:val="hybridMultilevel"/>
    <w:tmpl w:val="1D78D4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74EBA"/>
    <w:multiLevelType w:val="hybridMultilevel"/>
    <w:tmpl w:val="1CF07D4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7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0B637CB"/>
    <w:multiLevelType w:val="hybridMultilevel"/>
    <w:tmpl w:val="C0505E8E"/>
    <w:lvl w:ilvl="0" w:tplc="B4A480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38280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"/>
  </w:num>
  <w:num w:numId="4">
    <w:abstractNumId w:val="8"/>
  </w:num>
  <w:num w:numId="5">
    <w:abstractNumId w:val="6"/>
  </w:num>
  <w:num w:numId="6">
    <w:abstractNumId w:val="18"/>
  </w:num>
  <w:num w:numId="7">
    <w:abstractNumId w:val="11"/>
  </w:num>
  <w:num w:numId="8">
    <w:abstractNumId w:val="33"/>
  </w:num>
  <w:num w:numId="9">
    <w:abstractNumId w:val="35"/>
  </w:num>
  <w:num w:numId="10">
    <w:abstractNumId w:val="3"/>
  </w:num>
  <w:num w:numId="11">
    <w:abstractNumId w:val="7"/>
  </w:num>
  <w:num w:numId="12">
    <w:abstractNumId w:val="0"/>
  </w:num>
  <w:num w:numId="13">
    <w:abstractNumId w:val="22"/>
  </w:num>
  <w:num w:numId="14">
    <w:abstractNumId w:val="13"/>
  </w:num>
  <w:num w:numId="15">
    <w:abstractNumId w:val="34"/>
  </w:num>
  <w:num w:numId="16">
    <w:abstractNumId w:val="21"/>
  </w:num>
  <w:num w:numId="17">
    <w:abstractNumId w:val="39"/>
  </w:num>
  <w:num w:numId="18">
    <w:abstractNumId w:val="40"/>
  </w:num>
  <w:num w:numId="19">
    <w:abstractNumId w:val="28"/>
  </w:num>
  <w:num w:numId="20">
    <w:abstractNumId w:val="37"/>
  </w:num>
  <w:num w:numId="21">
    <w:abstractNumId w:val="36"/>
  </w:num>
  <w:num w:numId="22">
    <w:abstractNumId w:val="27"/>
  </w:num>
  <w:num w:numId="23">
    <w:abstractNumId w:val="26"/>
  </w:num>
  <w:num w:numId="24">
    <w:abstractNumId w:val="5"/>
  </w:num>
  <w:num w:numId="25">
    <w:abstractNumId w:val="24"/>
  </w:num>
  <w:num w:numId="26">
    <w:abstractNumId w:val="12"/>
  </w:num>
  <w:num w:numId="27">
    <w:abstractNumId w:val="19"/>
  </w:num>
  <w:num w:numId="28">
    <w:abstractNumId w:val="16"/>
  </w:num>
  <w:num w:numId="29">
    <w:abstractNumId w:val="14"/>
  </w:num>
  <w:num w:numId="30">
    <w:abstractNumId w:val="17"/>
  </w:num>
  <w:num w:numId="31">
    <w:abstractNumId w:val="20"/>
  </w:num>
  <w:num w:numId="32">
    <w:abstractNumId w:val="29"/>
  </w:num>
  <w:num w:numId="33">
    <w:abstractNumId w:val="9"/>
  </w:num>
  <w:num w:numId="34">
    <w:abstractNumId w:val="2"/>
  </w:num>
  <w:num w:numId="35">
    <w:abstractNumId w:val="25"/>
  </w:num>
  <w:num w:numId="36">
    <w:abstractNumId w:val="38"/>
  </w:num>
  <w:num w:numId="37">
    <w:abstractNumId w:val="10"/>
  </w:num>
  <w:num w:numId="38">
    <w:abstractNumId w:val="31"/>
  </w:num>
  <w:num w:numId="39">
    <w:abstractNumId w:val="15"/>
  </w:num>
  <w:num w:numId="40">
    <w:abstractNumId w:val="32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03B5C"/>
    <w:rsid w:val="000328FC"/>
    <w:rsid w:val="00036E00"/>
    <w:rsid w:val="00041F73"/>
    <w:rsid w:val="00060C60"/>
    <w:rsid w:val="001046F8"/>
    <w:rsid w:val="00116D2C"/>
    <w:rsid w:val="001E32CA"/>
    <w:rsid w:val="00233AD5"/>
    <w:rsid w:val="00264D71"/>
    <w:rsid w:val="002A0CB6"/>
    <w:rsid w:val="002A3AFD"/>
    <w:rsid w:val="002D7320"/>
    <w:rsid w:val="00315D68"/>
    <w:rsid w:val="003E0D01"/>
    <w:rsid w:val="00410172"/>
    <w:rsid w:val="00422634"/>
    <w:rsid w:val="004A211E"/>
    <w:rsid w:val="004E3E9B"/>
    <w:rsid w:val="004F593A"/>
    <w:rsid w:val="00504D1E"/>
    <w:rsid w:val="0058180A"/>
    <w:rsid w:val="00713A44"/>
    <w:rsid w:val="00713BE6"/>
    <w:rsid w:val="00725ABA"/>
    <w:rsid w:val="00765468"/>
    <w:rsid w:val="0079328B"/>
    <w:rsid w:val="00862F2A"/>
    <w:rsid w:val="008A463A"/>
    <w:rsid w:val="008B3FE9"/>
    <w:rsid w:val="008C104B"/>
    <w:rsid w:val="008D05B3"/>
    <w:rsid w:val="008F22A6"/>
    <w:rsid w:val="009504AB"/>
    <w:rsid w:val="00A17DAD"/>
    <w:rsid w:val="00A87F4F"/>
    <w:rsid w:val="00AD52EB"/>
    <w:rsid w:val="00B170BB"/>
    <w:rsid w:val="00B4138A"/>
    <w:rsid w:val="00BA18FB"/>
    <w:rsid w:val="00BC617A"/>
    <w:rsid w:val="00CF0011"/>
    <w:rsid w:val="00DA57D2"/>
    <w:rsid w:val="00DC723B"/>
    <w:rsid w:val="00E209D6"/>
    <w:rsid w:val="00E308A7"/>
    <w:rsid w:val="00ED40AE"/>
    <w:rsid w:val="00F07C63"/>
    <w:rsid w:val="00F1542E"/>
    <w:rsid w:val="00F312BA"/>
    <w:rsid w:val="00F32F55"/>
    <w:rsid w:val="00F4663F"/>
    <w:rsid w:val="00F902B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9535B-FA89-4923-812C-7394AEA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F73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1046F8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046F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BB69-963F-4CE6-9D35-88AF070F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OCOTLAN</dc:creator>
  <cp:keywords/>
  <dc:description/>
  <cp:lastModifiedBy>MUNICIPIO OCOTLAN</cp:lastModifiedBy>
  <cp:revision>18</cp:revision>
  <cp:lastPrinted>2019-03-14T23:03:00Z</cp:lastPrinted>
  <dcterms:created xsi:type="dcterms:W3CDTF">2019-04-10T14:42:00Z</dcterms:created>
  <dcterms:modified xsi:type="dcterms:W3CDTF">2019-04-11T14:35:00Z</dcterms:modified>
</cp:coreProperties>
</file>