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0ECD" w:rsidRPr="006B0ECD" w:rsidRDefault="006B0ECD" w:rsidP="006B0ECD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LILIANA SOLIS RAMOS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ADQUISICIONES Y PROVEEDURIA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9259940 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1600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6B0ECD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6B0ECD" w:rsidRPr="006B0ECD" w:rsidRDefault="006B0ECD" w:rsidP="006B0ECD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LILIANA SOLIS RAMOS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B0ECD" w:rsidRPr="006B0ECD" w:rsidRDefault="006B0ECD" w:rsidP="006B0ECD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6B0ECD" w:rsidRPr="006B0ECD" w:rsidRDefault="006B0ECD" w:rsidP="006B0ECD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ADQUISICIONES Y PROVEEDURIA</w:t>
                          </w:r>
                        </w:p>
                        <w:p w:rsidR="006B0ECD" w:rsidRPr="006B0ECD" w:rsidRDefault="006B0ECD" w:rsidP="006B0ECD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9259940  </w:t>
                          </w: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1600 </w:t>
                          </w: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6B0EC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6B0ECD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6B0ECD" w:rsidP="00D97FD1">
                                <w:pPr>
                                  <w:pStyle w:val="Subseccin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LICENCIATURA EN NEGOCIOS INTERNACIONALES</w:t>
                                </w:r>
                                <w:r w:rsidR="00D97FD1" w:rsidRPr="00D97FD1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UNIVERSIDAD DE GUADALAJARA</w:t>
                                </w: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  <w:p w:rsidR="00051E60" w:rsidRPr="006B0ECD" w:rsidRDefault="00051E60" w:rsidP="006B0ECD">
                                <w:pPr>
                                  <w:pStyle w:val="Subseccin"/>
                                  <w:ind w:left="36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F5AF8" w:rsidRPr="006B0ECD" w:rsidRDefault="006B0ECD" w:rsidP="006B0EC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GERENTE COMERCIAL REGIONAL</w:t>
                                </w:r>
                              </w:p>
                              <w:p w:rsidR="006B0ECD" w:rsidRDefault="006B0ECD" w:rsidP="006B0ECD">
                                <w:pPr>
                                  <w:pStyle w:val="Sinespaciado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B0ECD">
                                  <w:rPr>
                                    <w:rFonts w:ascii="Courier New" w:hAnsi="Courier New" w:cs="Courier New"/>
                                  </w:rPr>
                                  <w:t>TENDENZZA PISOS Y RECUBRIMIENTOS ZAPOPAN 2023-2024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t>.</w:t>
                                </w:r>
                              </w:p>
                              <w:p w:rsidR="006B0ECD" w:rsidRDefault="006B0ECD" w:rsidP="006B0ECD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GERENTE DE VENTAS RETAIL</w:t>
                                </w:r>
                              </w:p>
                              <w:p w:rsidR="006B0ECD" w:rsidRDefault="006B0ECD" w:rsidP="006B0ECD">
                                <w:pPr>
                                  <w:pStyle w:val="Sinespaciado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</w:rPr>
                                  <w:t>INTERCERAMIC OCOTLAN 2019-2023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6B0ECD" w:rsidP="00D97FD1">
                          <w:pPr>
                            <w:pStyle w:val="Subseccin"/>
                            <w:numPr>
                              <w:ilvl w:val="0"/>
                              <w:numId w:val="26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LICENCIATURA EN NEGOCIOS INTERNACIONALES</w:t>
                          </w:r>
                          <w:r w:rsidR="00D97FD1" w:rsidRPr="00D97FD1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 UNIVERSIDAD DE GUADALAJARA</w:t>
                          </w: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.</w:t>
                          </w:r>
                        </w:p>
                        <w:p w:rsidR="00051E60" w:rsidRPr="006B0ECD" w:rsidRDefault="00051E60" w:rsidP="006B0ECD">
                          <w:pPr>
                            <w:pStyle w:val="Subseccin"/>
                            <w:ind w:left="36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8F5AF8" w:rsidRPr="006B0ECD" w:rsidRDefault="006B0ECD" w:rsidP="006B0EC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GERENTE COMERCIAL REGIONAL</w:t>
                          </w:r>
                        </w:p>
                        <w:p w:rsidR="006B0ECD" w:rsidRDefault="006B0ECD" w:rsidP="006B0ECD">
                          <w:pPr>
                            <w:pStyle w:val="Sinespaciado"/>
                            <w:numPr>
                              <w:ilvl w:val="0"/>
                              <w:numId w:val="28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6B0ECD">
                            <w:rPr>
                              <w:rFonts w:ascii="Courier New" w:hAnsi="Courier New" w:cs="Courier New"/>
                            </w:rPr>
                            <w:t>TENDENZZA PISOS Y RECUBRIMIENTOS ZAPOPAN 2023-2024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t>.</w:t>
                          </w:r>
                        </w:p>
                        <w:p w:rsidR="006B0ECD" w:rsidRDefault="006B0ECD" w:rsidP="006B0ECD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GERENTE DE VENTAS RETAIL</w:t>
                          </w:r>
                        </w:p>
                        <w:p w:rsidR="006B0ECD" w:rsidRDefault="006B0ECD" w:rsidP="006B0ECD">
                          <w:pPr>
                            <w:pStyle w:val="Sinespaciado"/>
                            <w:numPr>
                              <w:ilvl w:val="0"/>
                              <w:numId w:val="28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t>INTERCERAMIC OCOTLAN 2019-2023</w:t>
                          </w: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bookmarkStart w:id="0" w:name="OLE_LINK7"/>
                                <w:r w:rsidRPr="0085167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bookmarkEnd w:id="0"/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bookmarkStart w:id="1" w:name="OLE_LINK1"/>
                                <w:bookmarkStart w:id="2" w:name="OLE_LINK30"/>
                                <w:r w:rsidRPr="0085167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DIRECCIÓN DE ADQUISICIONES Y PROVEEDURÍA </w:t>
                                </w:r>
                              </w:p>
                              <w:bookmarkEnd w:id="1"/>
                              <w:bookmarkEnd w:id="2"/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ARTÍCULO 75. 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SON ATRIBUCIONES DE LA DIRECCIÓN DE ADQUISICIONES 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Y PROVEEDURÍA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I. DEFINIR, ESTABLECER Y APLICAR ESTRATEGIAS QUE PERMITAN LOGRAR LOS OBJETIVOS EN MATERIA DE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AUSTERIDAD Y GASTO CONTEMPLADOS EN EL PROGRAMA DE GOBIERNO MUNICIPAL;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V. FIJAR BASES GENERALES A LAS QUE DEBEN SUJETARSE LAS DEPENDENCIAS DE LA ADMINISTRACIÓN PÚBLICA MUNICIPAL PARA LA SOLICITUD DE INSUMOS, SERVICIOS, EQUIPOS DE CÓMPUTO Y EQUIPO ESPECIALIZADO;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VI. RECIBIR EN COORDINACIÓN CON LAS DEPENDENCIAS SOLICITANTES, LOS INSUMOS, SERVICIOS, EQUIPOS DE CÓMPUTOS Y EQUIPO ESPECIALIZADO DE LOS PROVEEDORES, ADECUARLOS Y ENTREGARLOS A LA DEPENDENCIA CORRESPONDIENTE;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VII. RECIBIR LAS SOLICITUDES DE RECURSOS MATERIALES, EQUIPO Y SERVICIOS POR PARTE DE LAS DEPENDENCIAS EN LOS TÉRMINOS DE LA NORMATIVIDAD APLICABLE;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X. IMPLEMENTAR LOS SISTEMAS Y PLATAFORMAS TECNOLÓGICAS NECESARIAS PARA QUE LAS SESIONES DE LA COMISIÓN DE ADQUISICIONES PUEDAN SER TRANSMITIDAS EN TIEMPO REAL DE CONFORMIDAD CON LA LEGISLACIÓN APLICABLE;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XI. ELABORAR Y MANTENER ACTUALIZADO EL REGISTRO DE PROVEEDORES, INTEGRANDO DEBIDAMENTE EL EXPEDIENTE CORRESPONDIENTE, PARA SU RESGUARDO Y CONSULTA;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XIII. INFORMAR A LA COORDINACIÓN GENERAL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DE ADMINISTRACIÓN E INNOVACIÓN GUBERNAMENTAL, LOS AVANCES DE SUS ACTIVIDADES, Y RESULTADO DE ANÁLISIS ESTADÍSTICOS QUE PERMITAN MEDIR LA CAPACIDAD DE RESPUESTA DE LA DIRECCIÓN, EN LOS TÉRMINOS Y CONDICIONES QUE INDIQUE SU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COORDINADOR; Y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XIV. LAS DEMÁS PREVISTAS EN LA NORMATIVIDAD APLICABLE.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XIX. SUPERVISAR LUGARES DONDE SE EXPENDEN BEBIDAS ALCOHÓLICAS (BARES, CANTINAS, DISCOTECAS, ZONA DE TOLERANCIA);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XX. PRESERVAR, PROPONER, EJECUTAR Y SANCIONAR EL ESTABLECIMIENTO DE LOS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 xml:space="preserve"> </w:t>
                                </w: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REGLAMENTOS MUNICIPALES EN TODO EL MUNICIPIO DE OCOTLÁN;</w:t>
                                </w:r>
                              </w:p>
                              <w:p w:rsidR="006A5004" w:rsidRPr="0085167D" w:rsidRDefault="0085167D" w:rsidP="0085167D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85167D">
                                  <w:rPr>
                                    <w:rFonts w:ascii="Courier New" w:eastAsiaTheme="minorHAnsi" w:hAnsi="Courier New" w:cs="Courier New"/>
                                    <w:color w:val="000000"/>
                                    <w:lang w:val="es-MX" w:eastAsia="en-US"/>
                                  </w:rPr>
                                  <w:t>XXI. INSPECCIONAR AL RASTRO MUNICIPAL, ASÍ COMO SUPERVISAR LOS EXPENDIOS DE CÁRNICOS, LA INTRODUCCIÓN DE GANADO SACRIFICADO AL TERRITORIO MUNICIPAL</w:t>
                                </w:r>
                                <w:r w:rsidR="000F28F4" w:rsidRPr="0085167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3" w:name="OLE_LINK7"/>
                          <w:r w:rsidRPr="0085167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REGLAMENTO DE LA ADMINISTRACION PUBLICA MUNICIPAL DE OCOTLAN 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bookmarkEnd w:id="3"/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FUNCIONES Y OBLIGACIONES DEL SERVIDOR PÚBLICO 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bookmarkStart w:id="4" w:name="OLE_LINK1"/>
                          <w:bookmarkStart w:id="5" w:name="OLE_LINK30"/>
                          <w:r w:rsidRPr="0085167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DIRECCIÓN DE ADQUISICIONES Y PROVEEDURÍA </w:t>
                          </w:r>
                        </w:p>
                        <w:bookmarkEnd w:id="4"/>
                        <w:bookmarkEnd w:id="5"/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ARTÍCULO 75. 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 xml:space="preserve">SON ATRIBUCIONES DE LA DIRECCIÓN DE ADQUISICIONES </w:t>
                          </w:r>
                          <w:r w:rsidRPr="0085167D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Y PROVEEDURÍA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I. DEFINIR, ESTABLECER Y APLICAR ESTRATEGIAS QUE PERMITAN LOGRAR LOS OBJETIVOS EN MATERIA DE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AUSTERIDAD Y GASTO CONTEMPLADOS EN EL PROGRAMA DE GOBIERNO MUNICIPAL;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V. FIJAR BASES GENERALES A LAS QUE DEBEN SUJETARSE LAS DEPENDENCIAS DE LA ADMINISTRACIÓN PÚBLICA MUNICIPAL PARA LA SOLICITUD DE INSUMOS, SERVICIOS, EQUIPOS DE CÓMPUTO Y EQUIPO ESPECIALIZADO;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VI. RECIBIR EN COORDINACIÓN CON LAS DEPENDENCIAS SOLICITANTES, LOS INSUMOS, SERVICIOS, EQUIPOS DE CÓMPUTOS Y EQUIPO ESPECIALIZADO DE LOS PROVEEDORES, ADECUARLOS Y ENTREGARLOS A LA DEPENDENCIA CORRESPONDIENTE;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VII. RECIBIR LAS SOLICITUDES DE RECURSOS MATERIALES, EQUIPO Y SERVICIOS POR PARTE DE LAS DEPENDENCIAS EN LOS TÉRMINOS DE LA NORMATIVIDAD APLICABLE;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X. IMPLEMENTAR LOS SISTEMAS Y PLATAFORMAS TECNOLÓGICAS NECESARIAS PARA QUE LAS SESIONES DE LA COMISIÓN DE ADQUISICIONES PUEDAN SER TRANSMITIDAS EN TIEMPO REAL DE CONFORMIDAD CON LA LEGISLACIÓN APLICABLE;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XI. ELABORAR Y MANTENER ACTUALIZADO EL REGISTRO DE PROVEEDORES, INTEGRANDO DEBIDAMENTE EL EXPEDIENTE CORRESPONDIENTE, PARA SU RESGUARDO Y CONSULTA;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XIII. INFORMAR A LA COORDINACIÓN GENERAL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DE ADMINISTRACIÓN E INNOVACIÓN GUBERNAMENTAL, LOS AVANCES DE SUS ACTIVIDADES, Y RESULTADO DE ANÁLISIS ESTADÍSTICOS QUE PERMITAN MEDIR LA CAPACIDAD DE RESPUESTA DE LA DIRECCIÓN, EN LOS TÉRMINOS Y CONDICIONES QUE INDIQUE SU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COORDINADOR; Y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XIV. LAS DEMÁS PREVISTAS EN LA NORMATIVIDAD APLICABLE.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XIX. SUPERVISAR LUGARES DONDE SE EXPENDEN BEBIDAS ALCOHÓLICAS (BARES, CANTINAS, DISCOTECAS, ZONA DE TOLERANCIA);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XX. PRESERVAR, PROPONER, EJECUTAR Y SANCIONAR EL ESTABLECIMIENTO DE LOS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</w:rPr>
                            <w:t xml:space="preserve"> </w:t>
                          </w: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REGLAMENTOS MUNICIPALES EN TODO EL MUNICIPIO DE OCOTLÁN;</w:t>
                          </w:r>
                        </w:p>
                        <w:p w:rsidR="006A5004" w:rsidRPr="0085167D" w:rsidRDefault="0085167D" w:rsidP="0085167D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85167D">
                            <w:rPr>
                              <w:rFonts w:ascii="Courier New" w:eastAsiaTheme="minorHAnsi" w:hAnsi="Courier New" w:cs="Courier New"/>
                              <w:color w:val="000000"/>
                              <w:lang w:val="es-MX" w:eastAsia="en-US"/>
                            </w:rPr>
                            <w:t>XXI. INSPECCIONAR AL RASTRO MUNICIPAL, ASÍ COMO SUPERVISAR LOS EXPENDIOS DE CÁRNICOS, LA INTRODUCCIÓN DE GANADO SACRIFICADO AL TERRITORIO MUNICIPAL</w:t>
                          </w:r>
                          <w:r w:rsidR="000F28F4" w:rsidRPr="0085167D">
                            <w:rPr>
                              <w:rFonts w:ascii="Courier New" w:hAnsi="Courier New" w:cs="Courier New"/>
                              <w:caps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XXII. INSPECCIONAR, ORGANIZAR Y CONCEDER PERMISOS PARA EL COMERCIO EN LA VÍA PÚBLICA Y REGULAR A LOS LAVACOCHES.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XXIII. APOYAR A LAS DIFERENTES DEPENDENCIAS EN EL LEVANTAMIENTO DE INFRACCIONES TALES COMO ORDENAMIENTO TERRITORIAL,  TRÁNSITO Y VIALIDAD, SEGURIDAD PÚBLICA, Y LAS DEMÁS DEPENDENCIAS DEL GOBIERNO MUNICIPAL;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XXIV. REGULAR TODO TIPO DE ACTIVIDAD COMERCIAL EN EL MUNICIPIO;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XXV. PRESENTAR UN REPORTE DE ACTIVIDADES EN FORMA SEMANAL  AL ENCARGADO DE HACIENDA PÚBLICA MUNICIPAL.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XXVI.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85167D" w:rsidRPr="0085167D" w:rsidRDefault="0085167D" w:rsidP="0085167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5167D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  <w:szCs w:val="20"/>
                                  </w:rPr>
                                  <w:t>XXVII. LAS DEMÁS QUE ESTABLEZCAN LAS CONSTITUCIONES FEDERAL, ESTATAL Y DEMÁS LEYES Y REGLAMENTOS.</w:t>
                                </w:r>
                              </w:p>
                              <w:p w:rsidR="005E496D" w:rsidRPr="005E496D" w:rsidRDefault="005E496D" w:rsidP="005E496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6" w:name="_GoBack"/>
                                <w:bookmarkEnd w:id="6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XXII. INSPECCIONAR, ORGANIZAR Y CONCEDER PERMISOS PARA EL COMERCIO EN LA VÍA PÚBLICA Y REGULAR A LOS LAVACOCHES.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XXIII. APOYAR A LAS DIFERENTES DEPENDENCIAS EN EL LEVANTAMIENTO DE INFRACCIONES TALES COMO ORDENAMIENTO TERRITORIAL,  TRÁNSITO Y VIALIDAD, SEGURIDAD PÚBLICA, Y LAS DEMÁS DEPENDENCIAS DEL GOBIERNO MUNICIPAL;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XXIV. REGULAR TODO TIPO DE ACTIVIDAD COMERCIAL EN EL MUNICIPIO;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XXV. PRESENTAR UN REPORTE DE ACTIVIDADES EN FORMA SEMANAL  AL ENCARGADO DE HACIENDA PÚBLICA MUNICIPAL.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XXVI.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85167D" w:rsidRPr="0085167D" w:rsidRDefault="0085167D" w:rsidP="008516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</w:pPr>
                          <w:r w:rsidRPr="0085167D">
                            <w:rPr>
                              <w:rFonts w:ascii="Courier New" w:hAnsi="Courier New" w:cs="Courier New"/>
                              <w:color w:val="000000"/>
                              <w:sz w:val="20"/>
                              <w:szCs w:val="20"/>
                            </w:rPr>
                            <w:t>XXVII. LAS DEMÁS QUE ESTABLEZCAN LAS CONSTITUCIONES FEDERAL, ESTATAL Y DEMÁS LEYES Y REGLAMENTOS.</w:t>
                          </w:r>
                        </w:p>
                        <w:p w:rsidR="005E496D" w:rsidRPr="005E496D" w:rsidRDefault="005E496D" w:rsidP="005E496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7" w:name="_GoBack"/>
                          <w:bookmarkEnd w:id="7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C24D24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24" w:rsidRDefault="00C24D24" w:rsidP="007534E1">
      <w:pPr>
        <w:spacing w:after="0" w:line="240" w:lineRule="auto"/>
      </w:pPr>
      <w:r>
        <w:separator/>
      </w:r>
    </w:p>
  </w:endnote>
  <w:endnote w:type="continuationSeparator" w:id="0">
    <w:p w:rsidR="00C24D24" w:rsidRDefault="00C24D2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24" w:rsidRDefault="00C24D24" w:rsidP="007534E1">
      <w:pPr>
        <w:spacing w:after="0" w:line="240" w:lineRule="auto"/>
      </w:pPr>
      <w:r>
        <w:separator/>
      </w:r>
    </w:p>
  </w:footnote>
  <w:footnote w:type="continuationSeparator" w:id="0">
    <w:p w:rsidR="00C24D24" w:rsidRDefault="00C24D2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A6770"/>
    <w:multiLevelType w:val="hybridMultilevel"/>
    <w:tmpl w:val="3F087012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"/>
  </w:num>
  <w:num w:numId="5">
    <w:abstractNumId w:val="4"/>
  </w:num>
  <w:num w:numId="6">
    <w:abstractNumId w:val="16"/>
  </w:num>
  <w:num w:numId="7">
    <w:abstractNumId w:val="18"/>
  </w:num>
  <w:num w:numId="8">
    <w:abstractNumId w:val="25"/>
  </w:num>
  <w:num w:numId="9">
    <w:abstractNumId w:val="12"/>
  </w:num>
  <w:num w:numId="10">
    <w:abstractNumId w:val="24"/>
  </w:num>
  <w:num w:numId="11">
    <w:abstractNumId w:val="8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14"/>
  </w:num>
  <w:num w:numId="17">
    <w:abstractNumId w:val="26"/>
  </w:num>
  <w:num w:numId="18">
    <w:abstractNumId w:val="19"/>
  </w:num>
  <w:num w:numId="19">
    <w:abstractNumId w:val="5"/>
  </w:num>
  <w:num w:numId="20">
    <w:abstractNumId w:val="3"/>
  </w:num>
  <w:num w:numId="21">
    <w:abstractNumId w:val="27"/>
  </w:num>
  <w:num w:numId="22">
    <w:abstractNumId w:val="23"/>
  </w:num>
  <w:num w:numId="23">
    <w:abstractNumId w:val="6"/>
  </w:num>
  <w:num w:numId="24">
    <w:abstractNumId w:val="22"/>
  </w:num>
  <w:num w:numId="25">
    <w:abstractNumId w:val="10"/>
  </w:num>
  <w:num w:numId="26">
    <w:abstractNumId w:val="7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E60"/>
    <w:rsid w:val="00054690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E496D"/>
    <w:rsid w:val="00604DE9"/>
    <w:rsid w:val="00621F03"/>
    <w:rsid w:val="0067540E"/>
    <w:rsid w:val="00692CCD"/>
    <w:rsid w:val="006A0C09"/>
    <w:rsid w:val="006A5004"/>
    <w:rsid w:val="006B0ECD"/>
    <w:rsid w:val="006F1798"/>
    <w:rsid w:val="00730234"/>
    <w:rsid w:val="007534E1"/>
    <w:rsid w:val="00763BAD"/>
    <w:rsid w:val="007A5678"/>
    <w:rsid w:val="007C397E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20559"/>
    <w:rsid w:val="00A27CDF"/>
    <w:rsid w:val="00A858F5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CAFD-D1CF-4DE4-A2E4-254EFEDD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5</cp:revision>
  <cp:lastPrinted>2016-10-11T20:01:00Z</cp:lastPrinted>
  <dcterms:created xsi:type="dcterms:W3CDTF">2024-10-29T17:09:00Z</dcterms:created>
  <dcterms:modified xsi:type="dcterms:W3CDTF">2024-10-29T18:43:00Z</dcterms:modified>
</cp:coreProperties>
</file>