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10C4" w:rsidRPr="00F810C4" w:rsidRDefault="00F810C4" w:rsidP="00F810C4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F810C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RAMON CHOLICO RODRIGUEZ</w:t>
                                </w:r>
                              </w:p>
                              <w:p w:rsidR="00F810C4" w:rsidRPr="00F810C4" w:rsidRDefault="00F810C4" w:rsidP="00F810C4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F810C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F810C4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JEFE</w:t>
                                </w:r>
                              </w:p>
                              <w:p w:rsidR="00F810C4" w:rsidRPr="00F810C4" w:rsidRDefault="00F810C4" w:rsidP="00F810C4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F810C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F810C4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JEFATURA DE CEMENTERIOS</w:t>
                                </w:r>
                              </w:p>
                              <w:p w:rsidR="00F810C4" w:rsidRPr="00F810C4" w:rsidRDefault="00F810C4" w:rsidP="00F810C4">
                                <w:pPr>
                                  <w:rPr>
                                    <w:rFonts w:ascii="Courier New" w:eastAsia="Times New Roman" w:hAnsi="Courier New" w:cs="Courier New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F810C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F810C4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9224036 </w:t>
                                </w:r>
                                <w:r w:rsidRPr="00F810C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Pr="00F810C4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F810C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F810C4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F810C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Pr="00F810C4">
                                    <w:rPr>
                                      <w:rStyle w:val="Hipervnculo"/>
                                      <w:rFonts w:ascii="Courier New" w:eastAsia="Times New Roman" w:hAnsi="Courier New" w:cs="Courier New"/>
                                      <w:lang w:eastAsia="es-MX"/>
                                    </w:rPr>
                                    <w:t>cementeriosl@ocotlan.gob.mx</w:t>
                                  </w:r>
                                </w:hyperlink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F810C4" w:rsidRPr="00F810C4" w:rsidRDefault="00F810C4" w:rsidP="00F810C4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F810C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RAMON CHOLICO RODRIGUEZ</w:t>
                          </w:r>
                        </w:p>
                        <w:p w:rsidR="00F810C4" w:rsidRPr="00F810C4" w:rsidRDefault="00F810C4" w:rsidP="00F810C4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F810C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F810C4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JEFE</w:t>
                          </w:r>
                        </w:p>
                        <w:p w:rsidR="00F810C4" w:rsidRPr="00F810C4" w:rsidRDefault="00F810C4" w:rsidP="00F810C4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F810C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F810C4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JEFATURA DE CEMENTERIOS</w:t>
                          </w:r>
                        </w:p>
                        <w:p w:rsidR="00F810C4" w:rsidRPr="00F810C4" w:rsidRDefault="00F810C4" w:rsidP="00F810C4">
                          <w:pPr>
                            <w:rPr>
                              <w:rFonts w:ascii="Courier New" w:eastAsia="Times New Roman" w:hAnsi="Courier New" w:cs="Courier New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F810C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F810C4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9224036 </w:t>
                          </w:r>
                          <w:r w:rsidRPr="00F810C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Pr="00F810C4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F810C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F810C4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F810C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Pr="00F810C4">
                              <w:rPr>
                                <w:rStyle w:val="Hipervnculo"/>
                                <w:rFonts w:ascii="Courier New" w:eastAsia="Times New Roman" w:hAnsi="Courier New" w:cs="Courier New"/>
                                <w:lang w:eastAsia="es-MX"/>
                              </w:rPr>
                              <w:t>cementeriosl@ocotlan.gob.mx</w:t>
                            </w:r>
                          </w:hyperlink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5C1A8D" w:rsidP="00F810C4">
                                <w:pPr>
                                  <w:pStyle w:val="Subseccin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PREPARATORIA DEL SISTEMA SEMI ESCOLARIZADA SEP.</w:t>
                                </w:r>
                              </w:p>
                              <w:p w:rsidR="00051E60" w:rsidRPr="006B0ECD" w:rsidRDefault="00051E60" w:rsidP="006B0ECD">
                                <w:pPr>
                                  <w:pStyle w:val="Subseccin"/>
                                  <w:ind w:left="36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B0ECD" w:rsidRDefault="005C1A8D" w:rsidP="00D4096F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AYUNTAMIENTO DE OCOTLAN JALISCO 2015-2021</w:t>
                                </w:r>
                              </w:p>
                              <w:p w:rsidR="005C1A8D" w:rsidRDefault="005C1A8D" w:rsidP="005C1A8D">
                                <w:pPr>
                                  <w:pStyle w:val="Sinespaciado"/>
                                  <w:numPr>
                                    <w:ilvl w:val="0"/>
                                    <w:numId w:val="30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JEFE DE MERCADOS.</w:t>
                                </w:r>
                              </w:p>
                              <w:p w:rsidR="005C1A8D" w:rsidRDefault="005C1A8D" w:rsidP="005C1A8D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VIDRIOS Y LUNAS CHOLICO.</w:t>
                                </w:r>
                              </w:p>
                              <w:p w:rsidR="005C1A8D" w:rsidRPr="00D4096F" w:rsidRDefault="005C1A8D" w:rsidP="005C1A8D">
                                <w:pPr>
                                  <w:pStyle w:val="Sinespaciado"/>
                                  <w:numPr>
                                    <w:ilvl w:val="0"/>
                                    <w:numId w:val="30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GERENTE GENERAL Y PROPIETARIO.</w:t>
                                </w:r>
                              </w:p>
                              <w:p w:rsidR="006B0ECD" w:rsidRPr="006B0ECD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5C1A8D" w:rsidP="00F810C4">
                          <w:pPr>
                            <w:pStyle w:val="Subseccin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PREPARATORIA DEL SISTEMA SEMI ESCOLARIZADA SEP.</w:t>
                          </w:r>
                        </w:p>
                        <w:p w:rsidR="00051E60" w:rsidRPr="006B0ECD" w:rsidRDefault="00051E60" w:rsidP="006B0ECD">
                          <w:pPr>
                            <w:pStyle w:val="Subseccin"/>
                            <w:ind w:left="36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6B0ECD" w:rsidRDefault="005C1A8D" w:rsidP="00D4096F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AYUNTAMIENTO DE OCOTLAN JALISCO 2015-2021</w:t>
                          </w:r>
                        </w:p>
                        <w:p w:rsidR="005C1A8D" w:rsidRDefault="005C1A8D" w:rsidP="005C1A8D">
                          <w:pPr>
                            <w:pStyle w:val="Sinespaciado"/>
                            <w:numPr>
                              <w:ilvl w:val="0"/>
                              <w:numId w:val="30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JEFE DE MERCADOS.</w:t>
                          </w:r>
                        </w:p>
                        <w:p w:rsidR="005C1A8D" w:rsidRDefault="005C1A8D" w:rsidP="005C1A8D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VIDRIOS Y LUNAS CHOLICO.</w:t>
                          </w:r>
                        </w:p>
                        <w:p w:rsidR="005C1A8D" w:rsidRPr="00D4096F" w:rsidRDefault="005C1A8D" w:rsidP="005C1A8D">
                          <w:pPr>
                            <w:pStyle w:val="Sinespaciado"/>
                            <w:numPr>
                              <w:ilvl w:val="0"/>
                              <w:numId w:val="30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GERENTE GENERAL Y PROPIETARIO.</w:t>
                          </w:r>
                        </w:p>
                        <w:p w:rsidR="006B0ECD" w:rsidRPr="006B0ECD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FUNCIONES Y OBLIGACIONES DEL SERVIDOR PÚBLICO 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>JEFATURA DE CEMENTERIOS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 xml:space="preserve">ARTÍCULO 112. </w:t>
                                </w: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SON ATRIBUCIONES DE LA JEFATURA DE CEMENTERIOS: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I. PLANEAR, OPERAR, EJECUTAR, SUPERVISAR, Y DIRIGIR EL FUNCIONAMIENTO Y LA EFICIENTE CALIDAD DE PRESTACIÓN DE LOS SERVICIOS PÚBLICOS DE CEMENTERIOS;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II. ESTUDIAR, RESPONDER ASÍ COMO DAR SEGUIMIENTO A LAS SOLICITUDES Y REQUERIMIENTOS EN MATERIA DEL SERVICIO PÚBLICO DE CEMENTERIOS, QUE LA CIUDADANÍA SOLICITE A TRAVÉS DE LOS DIVERSOS MEDIOS;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III. ELABORAR LOS INFORMES Y HACER ANÁLISIS ESTADÍSTICO QUE PERMITAN MEDIR LA CAPACIDAD DE RESPUESTA DE LA DIRECCIÓN Y GENERAR LOS INDICADORES PARA EVALUAR SU OPERACIÓN;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IV. DISEÑAR, IMPLEMENTAR Y PROMOVER CON CALIDAD Y EFICIENCIA, LOS MECANISMOS QUE SEAN NECESARIOS PARA AGILIZAR LOS TRÁMITES QUE SE LLEVEN A CABO EN LA DIRECCIÓN;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V. DESARROLLAR UN PROGRAMA INTEGRAL DE ADMINISTRACIÓN DE LOS CEMENTERIOS, PROCURANDO LA SALUBRIDAD EN GENERAL, LA PRESERVACIÓN DEL EQUILIBRIO ECOLÓGICO Y DEMÁS SERVICIOS PROPIOS PARA EL CEMENTERIO;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VI. EMITIR OPINIONES TÉCNICAS QUE PUEDAN INCIDIR EN LA ACTUALIZACIÓN DE LAS DISPOSICIONES REGLAMENTARIAS RELACIONADAS CON LAS ACTIVIDADES DE LA DIRECCIÓN Y QUE CONTRIBUYAN DE MANERA POSITIVA EN EL DISEÑO DEL MODELO DE CIUDAD;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VII. ADMINISTRAR DE CONFORMIDAD CON LA NORMATIVIDAD APLICABLE, EL USO DE LOS CEMENTERIOS MUNICIPALES;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VIII. EL SERVICIO PÚBLICO MUNICIPAL DE CEMENTERIOS QUE PROPORCIONE EL MUNICIPIO, COMPRENDERÁ: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pStyle w:val="Prrafodelista"/>
                                  <w:numPr>
                                    <w:ilvl w:val="0"/>
                                    <w:numId w:val="31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INCINERACIÓN;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pStyle w:val="Prrafodelista"/>
                                  <w:numPr>
                                    <w:ilvl w:val="0"/>
                                    <w:numId w:val="31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INHUMACIÓN Y;</w:t>
                                </w:r>
                              </w:p>
                              <w:p w:rsidR="005C1A8D" w:rsidRDefault="005C1A8D" w:rsidP="005C1A8D">
                                <w:pPr>
                                  <w:pStyle w:val="Prrafodelista"/>
                                  <w:numPr>
                                    <w:ilvl w:val="0"/>
                                    <w:numId w:val="31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EXHUMACIÓN;</w:t>
                                </w:r>
                              </w:p>
                              <w:p w:rsid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IX. PROGRAMAR VISITAS DE INSPECCIÓN A CADA UNO DE LOS CEMENTERIOS UBICADOS EN EL MUNICIPIO, CON EL OBJETO DE REALIZAR UN ESTUDIO DETALLADO DE LOS MISMOS, A FIN DE DETERMINAR LAS NECESIDADES DE RECURSOS HUMANOS, MATERIALES Y FINANCIERAS QUE TIENEN;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X. GARANTIZAR LA SEGURIDAD DE LOS BIENES MUEBLES Y ACCESORIOS INSTALADOS EN LOS CEMENTERIOS;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XI. PROPORCIONAR A LA COMUNIDAD EL SERVICIO DE ATENCIÓN INFORMATIVA EN LO REFERENTE A UBICACIONES, CONTRATOS DE TEMPORALIDAD, FECHAS DE INHUMACIONES E INCINERACIONES EN LOS CEMENTERIOS MUNICIPALES CONFORME A LAS DISPOSICIONES NORMATIVAS DE LA MATERIA;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XII. VIGILAR LA TRANSPARENTE ASIGNACIÓN DE LOS ESPACIOS DISPONIBLES DE CONFORMIDAD CON LA NORMATIVIDAD APLICABLE;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XIII. CUIDAR Y MANTENER LAS ÁREAS VERDES DE EMBELLECIMIENTO DE LOS CEMENTERIOS MUNICIPALES;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XIV. ELABORAR Y EJECUTAR CON EFICIENCIA LOS PROGRAMAS DE LA DIRECCIÓN, ACORDE AL PROGRAMA DE GOBIERNO MUNICIPAL, EN COORDINACIÓN CON LAS DEPENDENCIAS COMPETENTES;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  <w:t>XV. DAR CUMPLIMIENTO EN COORDINACIÓN CON LA HACIENDA, A LAS DISPOSICIONES PREVISTAS EN LA LEY DE INGRESOS DEL MUNICIPIO DE OCOTLÁN;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  <w:t>XVI. EN COORDINACIÓN CON EL REGISTRO CIVIL, CUMPLIR LAS DISPOSICIONES NORMATIVAS DE LA MATERIA;</w:t>
                                </w: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Cs w:val="20"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Cs w:val="20"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5C1A8D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 xml:space="preserve">REGLAMENTO DE LA ADMINISTRACION PUBLICA MUNICIPAL DE OCOTLAN 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FUNCIONES Y OBLIGACIONES DEL SERVIDOR PÚBLICO 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>JEFATURA DE CEMENTERIOS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 xml:space="preserve">ARTÍCULO 112. </w:t>
                          </w: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SON ATRIBUCIONES DE LA JEFATURA DE CEMENTERIOS: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I. PLANEAR, OPERAR, EJECUTAR, SUPERVISAR, Y DIRIGIR EL FUNCIONAMIENTO Y LA EFICIENTE CALIDAD DE PRESTACIÓN DE LOS SERVICIOS PÚBLICOS DE CEMENTERIOS;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II. ESTUDIAR, RESPONDER ASÍ COMO DAR SEGUIMIENTO A LAS SOLICITUDES Y REQUERIMIENTOS EN MATERIA DEL SERVICIO PÚBLICO DE CEMENTERIOS, QUE LA CIUDADANÍA SOLICITE A TRAVÉS DE LOS DIVERSOS MEDIOS;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III. ELABORAR LOS INFORMES Y HACER ANÁLISIS ESTADÍSTICO QUE PERMITAN MEDIR LA CAPACIDAD DE RESPUESTA DE LA DIRECCIÓN Y GENERAR LOS INDICADORES PARA EVALUAR SU OPERACIÓN;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IV. DISEÑAR, IMPLEMENTAR Y PROMOVER CON CALIDAD Y EFICIENCIA, LOS MECANISMOS QUE SEAN NECESARIOS PARA AGILIZAR LOS TRÁMITES QUE SE LLEVEN A CABO EN LA DIRECCIÓN;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V. DESARROLLAR UN PROGRAMA INTEGRAL DE ADMINISTRACIÓN DE LOS CEMENTERIOS, PROCURANDO LA SALUBRIDAD EN GENERAL, LA PRESERVACIÓN DEL EQUILIBRIO ECOLÓGICO Y DEMÁS SERVICIOS PROPIOS PARA EL CEMENTERIO;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VI. EMITIR OPINIONES TÉCNICAS QUE PUEDAN INCIDIR EN LA ACTUALIZACIÓN DE LAS DISPOSICIONES REGLAMENTARIAS RELACIONADAS CON LAS ACTIVIDADES DE LA DIRECCIÓN Y QUE CONTRIBUYAN DE MANERA POSITIVA EN EL DISEÑO DEL MODELO DE CIUDAD;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VII. ADMINISTRAR DE CONFORMIDAD CON LA NORMATIVIDAD APLICABLE, EL USO DE LOS CEMENTERIOS MUNICIPALES;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VIII. EL SERVICIO PÚBLICO MUNICIPAL DE CEMENTERIOS QUE PROPORCIONE EL MUNICIPIO, COMPRENDERÁ:</w:t>
                          </w:r>
                        </w:p>
                        <w:p w:rsidR="005C1A8D" w:rsidRPr="005C1A8D" w:rsidRDefault="005C1A8D" w:rsidP="005C1A8D">
                          <w:pPr>
                            <w:pStyle w:val="Prrafodelista"/>
                            <w:numPr>
                              <w:ilvl w:val="0"/>
                              <w:numId w:val="31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INCINERACIÓN;</w:t>
                          </w:r>
                        </w:p>
                        <w:p w:rsidR="005C1A8D" w:rsidRPr="005C1A8D" w:rsidRDefault="005C1A8D" w:rsidP="005C1A8D">
                          <w:pPr>
                            <w:pStyle w:val="Prrafodelista"/>
                            <w:numPr>
                              <w:ilvl w:val="0"/>
                              <w:numId w:val="31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INHUMACIÓN Y;</w:t>
                          </w:r>
                        </w:p>
                        <w:p w:rsidR="005C1A8D" w:rsidRDefault="005C1A8D" w:rsidP="005C1A8D">
                          <w:pPr>
                            <w:pStyle w:val="Prrafodelista"/>
                            <w:numPr>
                              <w:ilvl w:val="0"/>
                              <w:numId w:val="31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EXHUMACIÓN;</w:t>
                          </w:r>
                        </w:p>
                        <w:p w:rsid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IX. PROGRAMAR VISITAS DE INSPECCIÓN A CADA UNO DE LOS CEMENTERIOS UBICADOS EN EL MUNICIPIO, CON EL OBJETO DE REALIZAR UN ESTUDIO DETALLADO DE LOS MISMOS, A FIN DE DETERMINAR LAS NECESIDADES DE RECURSOS HUMANOS, MATERIALES Y FINANCIERAS QUE TIENEN;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X. GARANTIZAR LA SEGURIDAD DE LOS BIENES MUEBLES Y ACCESORIOS INSTALADOS EN LOS CEMENTERIOS;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XI. PROPORCIONAR A LA COMUNIDAD EL SERVICIO DE ATENCIÓN INFORMATIVA EN LO REFERENTE A UBICACIONES, CONTRATOS DE TEMPORALIDAD, FECHAS DE INHUMACIONES E INCINERACIONES EN LOS CEMENTERIOS MUNICIPALES CONFORME A LAS DISPOSICIONES NORMATIVAS DE LA MATERIA;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XII. VIGILAR LA TRANSPARENTE ASIGNACIÓN DE LOS ESPACIOS DISPONIBLES DE CONFORMIDAD CON LA NORMATIVIDAD APLICABLE;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XIII. CUIDAR Y MANTENER LAS ÁREAS VERDES DE EMBELLECIMIENTO DE LOS CEMENTERIOS MUNICIPALES;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XIV. ELABORAR Y EJECUTAR CON EFICIENCIA LOS PROGRAMAS DE LA DIRECCIÓN, ACORDE AL PROGRAMA DE GOBIERNO MUNICIPAL, EN COORDINACIÓN CON LAS DEPENDENCIAS COMPETENTES;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  <w:t>XV. DAR CUMPLIMIENTO EN COORDINACIÓN CON LA HACIENDA, A LAS DISPOSICIONES PREVISTAS EN LA LEY DE INGRESOS DEL MUNICIPIO DE OCOTLÁN;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  <w:t>XVI. EN COORDINACIÓN CON EL REGISTRO CIVIL, CUMPLIR LAS DISPOSICIONES NORMATIVAS DE LA MATERIA;</w:t>
                          </w: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Cs w:val="20"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5C1A8D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  <w:t>XVII. ESTABLECER UN PROGRAMA OPERATIVO PARA EL DESARROLLO DE LAS FESTIVIDADES PROPIAS DEL ÁREA EN COORDINACIÓN CON LAS DEPENDENCIAS COMPETENTES.</w:t>
                                </w: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          </w:r>
                              </w:p>
                              <w:p w:rsidR="005E496D" w:rsidRPr="005C1A8D" w:rsidRDefault="005C1A8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  <w:t xml:space="preserve">XIX. </w:t>
                                </w: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  <w:t xml:space="preserve">LAS DEMÁS QUE ESTABLEZCA LA NORMATIVIDAD </w:t>
                                </w:r>
                                <w:r w:rsidRPr="005C1A8D"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  <w:t>APLICABLE</w:t>
                                </w: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  <w:szCs w:val="20"/>
                                  </w:rPr>
                                  <w:t>.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  <w:t>XVII. ESTABLECER UN PROGRAMA OPERATIVO PARA EL DESARROLLO DE LAS FESTIVIDADES PROPIAS DEL ÁREA EN COORDINACIÓN CON LAS DEPENDENCIAS COMPETENTES.</w:t>
                          </w: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    </w:r>
                        </w:p>
                        <w:p w:rsidR="005E496D" w:rsidRPr="005C1A8D" w:rsidRDefault="005C1A8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  <w:t xml:space="preserve">XIX. </w:t>
                          </w: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  <w:t xml:space="preserve">LAS DEMÁS QUE ESTABLEZCA LA NORMATIVIDAD </w:t>
                          </w:r>
                          <w:r w:rsidRPr="005C1A8D"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  <w:t>APLICABLE</w:t>
                          </w:r>
                          <w:r>
                            <w:rPr>
                              <w:rFonts w:ascii="Courier New" w:hAnsi="Courier New" w:cs="Courier New"/>
                              <w:color w:val="000000"/>
                              <w:szCs w:val="20"/>
                            </w:rPr>
                            <w:t>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A93ABF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BF" w:rsidRDefault="00A93ABF" w:rsidP="007534E1">
      <w:pPr>
        <w:spacing w:after="0" w:line="240" w:lineRule="auto"/>
      </w:pPr>
      <w:r>
        <w:separator/>
      </w:r>
    </w:p>
  </w:endnote>
  <w:endnote w:type="continuationSeparator" w:id="0">
    <w:p w:rsidR="00A93ABF" w:rsidRDefault="00A93ABF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BF" w:rsidRDefault="00A93ABF" w:rsidP="007534E1">
      <w:pPr>
        <w:spacing w:after="0" w:line="240" w:lineRule="auto"/>
      </w:pPr>
      <w:r>
        <w:separator/>
      </w:r>
    </w:p>
  </w:footnote>
  <w:footnote w:type="continuationSeparator" w:id="0">
    <w:p w:rsidR="00A93ABF" w:rsidRDefault="00A93ABF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9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1"/>
  </w:num>
  <w:num w:numId="5">
    <w:abstractNumId w:val="4"/>
  </w:num>
  <w:num w:numId="6">
    <w:abstractNumId w:val="18"/>
  </w:num>
  <w:num w:numId="7">
    <w:abstractNumId w:val="21"/>
  </w:num>
  <w:num w:numId="8">
    <w:abstractNumId w:val="28"/>
  </w:num>
  <w:num w:numId="9">
    <w:abstractNumId w:val="14"/>
  </w:num>
  <w:num w:numId="10">
    <w:abstractNumId w:val="27"/>
  </w:num>
  <w:num w:numId="11">
    <w:abstractNumId w:val="8"/>
  </w:num>
  <w:num w:numId="12">
    <w:abstractNumId w:val="9"/>
  </w:num>
  <w:num w:numId="13">
    <w:abstractNumId w:val="23"/>
  </w:num>
  <w:num w:numId="14">
    <w:abstractNumId w:val="20"/>
  </w:num>
  <w:num w:numId="15">
    <w:abstractNumId w:val="12"/>
  </w:num>
  <w:num w:numId="16">
    <w:abstractNumId w:val="16"/>
  </w:num>
  <w:num w:numId="17">
    <w:abstractNumId w:val="29"/>
  </w:num>
  <w:num w:numId="18">
    <w:abstractNumId w:val="22"/>
  </w:num>
  <w:num w:numId="19">
    <w:abstractNumId w:val="5"/>
  </w:num>
  <w:num w:numId="20">
    <w:abstractNumId w:val="3"/>
  </w:num>
  <w:num w:numId="21">
    <w:abstractNumId w:val="30"/>
  </w:num>
  <w:num w:numId="22">
    <w:abstractNumId w:val="26"/>
  </w:num>
  <w:num w:numId="23">
    <w:abstractNumId w:val="6"/>
  </w:num>
  <w:num w:numId="24">
    <w:abstractNumId w:val="25"/>
  </w:num>
  <w:num w:numId="25">
    <w:abstractNumId w:val="11"/>
  </w:num>
  <w:num w:numId="26">
    <w:abstractNumId w:val="7"/>
  </w:num>
  <w:num w:numId="27">
    <w:abstractNumId w:val="17"/>
  </w:num>
  <w:num w:numId="28">
    <w:abstractNumId w:val="15"/>
  </w:num>
  <w:num w:numId="29">
    <w:abstractNumId w:val="19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F1798"/>
    <w:rsid w:val="00730234"/>
    <w:rsid w:val="007534E1"/>
    <w:rsid w:val="00763BAD"/>
    <w:rsid w:val="007A5678"/>
    <w:rsid w:val="007C397E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nteriosl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ementeriosl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84EA9-4750-44AB-B6B0-CF7D0AD4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8</cp:revision>
  <cp:lastPrinted>2016-10-11T20:01:00Z</cp:lastPrinted>
  <dcterms:created xsi:type="dcterms:W3CDTF">2024-10-29T17:09:00Z</dcterms:created>
  <dcterms:modified xsi:type="dcterms:W3CDTF">2024-10-29T19:25:00Z</dcterms:modified>
</cp:coreProperties>
</file>