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713A" w:rsidRPr="0077713A" w:rsidRDefault="0077713A" w:rsidP="0077713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VALENTIN OROZCO GONZALEZ</w:t>
                                </w:r>
                              </w:p>
                              <w:p w:rsidR="0077713A" w:rsidRPr="0077713A" w:rsidRDefault="0077713A" w:rsidP="0077713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 GENERAL</w:t>
                                </w:r>
                              </w:p>
                              <w:p w:rsidR="0077713A" w:rsidRPr="0077713A" w:rsidRDefault="0077713A" w:rsidP="0077713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 GENERAL DE GESTIÓN INTEGRAL DE LA CIUDAD</w:t>
                                </w:r>
                              </w:p>
                              <w:p w:rsidR="0077713A" w:rsidRPr="0077713A" w:rsidRDefault="0077713A" w:rsidP="0077713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3929259940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1320,1322 Y 1321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obraspublicas@ocotlan.gob.mx</w:t>
                                </w:r>
                                <w:r w:rsidRPr="0077713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77713A" w:rsidRPr="0077713A" w:rsidRDefault="0077713A" w:rsidP="0077713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VALENTIN OROZCO GONZALEZ</w:t>
                          </w:r>
                        </w:p>
                        <w:p w:rsidR="0077713A" w:rsidRPr="0077713A" w:rsidRDefault="0077713A" w:rsidP="0077713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 GENERAL</w:t>
                          </w:r>
                        </w:p>
                        <w:p w:rsidR="0077713A" w:rsidRPr="0077713A" w:rsidRDefault="0077713A" w:rsidP="0077713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 GENERAL DE GESTIÓN INTEGRAL DE LA CIUDAD</w:t>
                          </w:r>
                        </w:p>
                        <w:p w:rsidR="0077713A" w:rsidRPr="0077713A" w:rsidRDefault="0077713A" w:rsidP="0077713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3929259940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1320,1322 Y 1321</w:t>
                          </w: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77713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obraspublicas@ocotlan.gob.mx</w:t>
                          </w:r>
                          <w:r w:rsidRPr="0077713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77713A" w:rsidRDefault="001B7331" w:rsidP="001B7331">
                                <w:pPr>
                                  <w:pStyle w:val="Subseccin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UNIVERSIDAD DE GUADALAJARA, LICENCIATURA EN DERECHO.</w:t>
                                </w: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E2F98" w:rsidRDefault="005E2F98" w:rsidP="005E2F98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H. AYUNTAMIENTO CONSTITUCIONAL TOTOTLAN, JALISCO. DIRECTOR JURIDICO DE DESARROLLO URBANO Y ORDENAMIENTO TERRITORIAL. 2018-2024</w:t>
                                </w:r>
                              </w:p>
                              <w:p w:rsidR="005E2F98" w:rsidRDefault="005E2F98" w:rsidP="005E2F98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H. AYUNTAMIENTO CONSTITUCIONAL ATOTONILCO, JALISCO. SECRETARIO TECNICO DE LA COMISION MUNICIPAL DE REGULARIZACION Y DICTAMINADOR DE ACCIONES URBANISTICAS. 2016-2018</w:t>
                                </w:r>
                              </w:p>
                              <w:p w:rsidR="005E2F98" w:rsidRPr="005E2F98" w:rsidRDefault="005E2F98" w:rsidP="005E2F98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H. AYUNTAMIENTO CONSTITUCIONAL DE OCOTLAN, JALISCO. SUB-DIRECTOR JURIDICO DE ORDENAMIENTO DEL TERRITORIO. 2015-2016.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77713A" w:rsidRDefault="001B7331" w:rsidP="001B7331">
                          <w:pPr>
                            <w:pStyle w:val="Subseccin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UNIVERSIDAD DE GUADALAJARA, LICENCIATURA EN DERECHO.</w:t>
                          </w: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E2F98" w:rsidRDefault="005E2F98" w:rsidP="005E2F98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H. AYUNTAMIENTO CONSTITUCIONAL TOTOTLAN, JALISCO. DIRECTOR JURIDICO DE DESARROLLO URBANO Y ORDENAMIENTO TERRITORIAL. 2018-2024</w:t>
                          </w:r>
                        </w:p>
                        <w:p w:rsidR="005E2F98" w:rsidRDefault="005E2F98" w:rsidP="005E2F98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H. AYUNTAMIENTO CONSTITUCIONAL ATOTONILCO, JALISCO. SECRETARIO TECNICO DE LA COMISION MUNICIPAL DE REGULARIZACION Y DICTAMINADOR DE ACCIONES URBANISTICAS. 2016-2018</w:t>
                          </w:r>
                        </w:p>
                        <w:p w:rsidR="005E2F98" w:rsidRPr="005E2F98" w:rsidRDefault="005E2F98" w:rsidP="005E2F98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H. AYUNTAMIENTO CONSTITUCIONAL DE OCOTLAN, JALISCO. SUB-DIRECTOR JURIDICO DE ORDENAMIENTO DEL TERRITORIO. 2015-2016.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2F98" w:rsidRPr="005D1F46" w:rsidRDefault="005E2F98" w:rsidP="005D1F4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aps/>
                                    <w:color w:val="000000"/>
                                  </w:rPr>
                                </w:pPr>
                                <w:bookmarkStart w:id="0" w:name="OLE_LINK7"/>
                                <w:r w:rsidRPr="005D1F46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aps/>
                                    <w:color w:val="000000"/>
                                  </w:rPr>
                                  <w:t>REGLAMENTO DE LA ADMINISTRACION PUBLICA MUNICIPAL DE OCOTLAN</w:t>
                                </w:r>
                                <w:bookmarkEnd w:id="0"/>
                              </w:p>
                              <w:p w:rsidR="005E2F98" w:rsidRPr="005D1F46" w:rsidRDefault="005E2F98" w:rsidP="005D1F46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</w:p>
                              <w:p w:rsidR="005E2F98" w:rsidRPr="005D1F46" w:rsidRDefault="005E2F98" w:rsidP="005D1F46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5D1F46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FACULTADES Y OBLIGACIONES DEL SERVIDOR PÚBLICO</w:t>
                                </w:r>
                              </w:p>
                              <w:p w:rsidR="005E2F98" w:rsidRPr="005D1F46" w:rsidRDefault="005E2F98" w:rsidP="005D1F46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  <w:p w:rsidR="005E2F98" w:rsidRPr="005D1F46" w:rsidRDefault="005E2F98" w:rsidP="005D1F4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</w:rPr>
                                </w:pPr>
                                <w:r w:rsidRPr="005D1F46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aps/>
                                    <w:color w:val="000000"/>
                                  </w:rPr>
                                  <w:t>COORDINACIÓN GENERAL DE GESTIÓN INTEGRAL DE LA CIUDAD</w:t>
                                </w:r>
                              </w:p>
                              <w:p w:rsidR="005D1F46" w:rsidRDefault="005D1F46" w:rsidP="005E2F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</w:p>
                              <w:p w:rsidR="005E2F98" w:rsidRPr="005D1F46" w:rsidRDefault="005E2F98" w:rsidP="005E2F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F46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Artículo 139</w:t>
                                </w: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. </w:t>
                                </w:r>
                                <w:r w:rsidRPr="005D1F46">
                                  <w:rPr>
                                    <w:rFonts w:ascii="Cambria Math" w:hAnsi="Cambria Math" w:cs="Cambria Math"/>
                                    <w:caps/>
                                  </w:rPr>
                                  <w:t>​</w:t>
                                </w: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La Coordinación General de Gestión Integral de la Ciudad es la instancia integradora de las 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calidad; encargada de la distribución de la inversión pública en todas las demarcaciones de la ciudad, dando prioridad a las que permitan reducir brechas sociales, eliminar los privilegios y fomentar la integración de las personas desvinculadas del desarrollo social y económico; e integrar la infraestructura y los servicios del Municipio.</w:t>
                                </w:r>
                              </w:p>
                              <w:p w:rsidR="005E2F98" w:rsidRPr="005D1F46" w:rsidRDefault="005E2F98" w:rsidP="005E2F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  <w:p w:rsidR="006A5004" w:rsidRPr="005D1F46" w:rsidRDefault="005E2F98" w:rsidP="005E2F98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</w:t>
                                </w:r>
                                <w:r w:rsidRPr="005D1F46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Artículo 140</w:t>
                                </w: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. </w:t>
                                </w:r>
                                <w:r w:rsidRPr="005D1F46">
                                  <w:rPr>
                                    <w:rFonts w:ascii="Cambria Math" w:hAnsi="Cambria Math" w:cs="Cambria Math"/>
                                    <w:caps/>
                                  </w:rPr>
                                  <w:t>​</w:t>
                                </w: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La Coordinación General de Gestión Integral de la Ciudad cuenta con las siguientes atribuciones: I. Concebir y diseñar los espacios públicos municipales en coordinación con las demás dependencias competentes; II. Elaborar las políticas generales relativas a los programas de intervención de la ciudad en materia de espacio público, en coordinación con las dependencias competentes; III. Verificar la gestión del Gobierno Municipal y los avances de las diversas dependencias que lo integran, en relación con los objetivos del Programa Municipal de Desarrollo Urbano, de los planes y programas que de éste se derivan; IV. Definir y proponer al Presidente Municipal, una visión de largo plazo en materia de ordenamiento territorial y desarrollo urbano; así como, las demarcaciones de gestión en el modelo de desarrollo de la ciudad, la determinación de zonas y usos de suelo; así mismo la integración de los planes parciales de desarrollo del municipio; V. Dar cumplimiento a la normatividad en materia de ordenamiento territorial y urbano, edificación y construcción en general; VI. Desarrollar el proceso de gestión de recursos, planeación, presupuestación, programación, contratación, ejecución y supervisión de la obra pública que se realiza en el municipio por otras dependencias o por particulares; VII. Supervisar, apoyar técnicamente y, en su caso, ejecutar las obras derivadas de los programas de desarrollo social y comunitario; VIII. Coadyuvar con las dependencias competentes en el desarrollo de las acciones urbanas que se ejecutan en el municipio, en cuanto a su orden e imagen; IX. Participar en la supervisión del cumplimiento de las normas aplicables en materia de edificación y urbanización en el municipio y en su caso la validación técnica respectiva, en coordinación con las dependencias competentes en el diseño del modelo de movilidad; X. Coadyuvar con las dependencias competentes en el diseño e implementación de estrategias y programas tendientes a lograr que el servicio de transporte público sea seguro, eficiente y eficaz, y coordinarse con las instancias competentes en materia de movilidad, para garantizar el cumplimiento permanente de este objetivo; 94XI. Generar e implementar un plan de acciones permanente, destinado a mejorar la seguridad de los usu</w:t>
                                </w:r>
                                <w:r w:rsid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arios del espacio público;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2F98" w:rsidRPr="005D1F46" w:rsidRDefault="005E2F98" w:rsidP="005D1F4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aps/>
                              <w:color w:val="000000"/>
                            </w:rPr>
                          </w:pPr>
                          <w:bookmarkStart w:id="1" w:name="OLE_LINK7"/>
                          <w:r w:rsidRPr="005D1F46">
                            <w:rPr>
                              <w:rFonts w:ascii="Courier New" w:hAnsi="Courier New" w:cs="Courier New"/>
                              <w:b/>
                              <w:bCs/>
                              <w:caps/>
                              <w:color w:val="000000"/>
                            </w:rPr>
                            <w:t>REGLAMENTO DE LA ADMINISTRACION PUBLICA MUNICIPAL DE OCOTLAN</w:t>
                          </w:r>
                          <w:bookmarkEnd w:id="1"/>
                        </w:p>
                        <w:p w:rsidR="005E2F98" w:rsidRPr="005D1F46" w:rsidRDefault="005E2F98" w:rsidP="005D1F46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</w:p>
                        <w:p w:rsidR="005E2F98" w:rsidRPr="005D1F46" w:rsidRDefault="005E2F98" w:rsidP="005D1F46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5D1F46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FACULTADES Y OBLIGACIONES DEL SERVIDOR PÚBLICO</w:t>
                          </w:r>
                        </w:p>
                        <w:p w:rsidR="005E2F98" w:rsidRPr="005D1F46" w:rsidRDefault="005E2F98" w:rsidP="005D1F46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  <w:p w:rsidR="005E2F98" w:rsidRPr="005D1F46" w:rsidRDefault="005E2F98" w:rsidP="005D1F4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caps/>
                              <w:color w:val="000000"/>
                            </w:rPr>
                          </w:pPr>
                          <w:r w:rsidRPr="005D1F46">
                            <w:rPr>
                              <w:rFonts w:ascii="Courier New" w:hAnsi="Courier New" w:cs="Courier New"/>
                              <w:b/>
                              <w:bCs/>
                              <w:caps/>
                              <w:color w:val="000000"/>
                            </w:rPr>
                            <w:t>COORDINACIÓN GENERAL DE GESTIÓN INTEGRAL DE LA CIUDAD</w:t>
                          </w:r>
                        </w:p>
                        <w:p w:rsidR="005D1F46" w:rsidRDefault="005D1F46" w:rsidP="005E2F9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</w:p>
                        <w:p w:rsidR="005E2F98" w:rsidRPr="005D1F46" w:rsidRDefault="005E2F98" w:rsidP="005E2F9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F46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Artículo 139</w:t>
                          </w: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 xml:space="preserve">. </w:t>
                          </w:r>
                          <w:r w:rsidRPr="005D1F46">
                            <w:rPr>
                              <w:rFonts w:ascii="Cambria Math" w:hAnsi="Cambria Math" w:cs="Cambria Math"/>
                              <w:caps/>
                            </w:rPr>
                            <w:t>​</w:t>
                          </w: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>La Coordinación General de Gestión Integral de la Ciudad es la instancia integradora de las 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calidad; encargada de la distribución de la inversión pública en todas las demarcaciones de la ciudad, dando prioridad a las que permitan reducir brechas sociales, eliminar los privilegios y fomentar la integración de las personas desvinculadas del desarrollo social y económico; e integrar la infraestructura y los servicios del Municipio.</w:t>
                          </w:r>
                        </w:p>
                        <w:p w:rsidR="005E2F98" w:rsidRPr="005D1F46" w:rsidRDefault="005E2F98" w:rsidP="005E2F9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  <w:p w:rsidR="006A5004" w:rsidRPr="005D1F46" w:rsidRDefault="005E2F98" w:rsidP="005E2F98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 xml:space="preserve"> </w:t>
                          </w:r>
                          <w:r w:rsidRPr="005D1F46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Artículo 140</w:t>
                          </w: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 xml:space="preserve">. </w:t>
                          </w:r>
                          <w:r w:rsidRPr="005D1F46">
                            <w:rPr>
                              <w:rFonts w:ascii="Cambria Math" w:hAnsi="Cambria Math" w:cs="Cambria Math"/>
                              <w:caps/>
                            </w:rPr>
                            <w:t>​</w:t>
                          </w: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>La Coordinación General de Gestión Integral de la Ciudad cuenta con las siguientes atribuciones: I. Concebir y diseñar los espacios públicos municipales en coordinación con las demás dependencias competentes; II. Elaborar las políticas generales relativas a los programas de intervención de la ciudad en materia de espacio público, en coordinación con las dependencias competentes; III. Verificar la gestión del Gobierno Municipal y los avances de las diversas dependencias que lo integran, en relación con los objetivos del Programa Municipal de Desarrollo Urbano, de los planes y programas que de éste se derivan; IV. Definir y proponer al Presidente Municipal, una visión de largo plazo en materia de ordenamiento territorial y desarrollo urbano; así como, las demarcaciones de gestión en el modelo de desarrollo de la ciudad, la determinación de zonas y usos de suelo; así mismo la integración de los planes parciales de desarrollo del municipio; V. Dar cumplimiento a la normatividad en materia de ordenamiento territorial y urbano, edificación y construcción en general; VI. Desarrollar el proceso de gestión de recursos, planeación, presupuestación, programación, contratación, ejecución y supervisión de la obra pública que se realiza en el municipio por otras dependencias o por particulares; VII. Supervisar, apoyar técnicamente y, en su caso, ejecutar las obras derivadas de los programas de desarrollo social y comunitario; VIII. Coadyuvar con las dependencias competentes en el desarrollo de las acciones urbanas que se ejecutan en el municipio, en cuanto a su orden e imagen; IX. Participar en la supervisión del cumplimiento de las normas aplicables en materia de edificación y urbanización en el municipio y en su caso la validación técnica respectiva, en coordinación con las dependencias competentes en el diseño del modelo de movilidad; X. Coadyuvar con las dependencias competentes en el diseño e implementación de estrategias y programas tendientes a lograr que el servicio de transporte público sea seguro, eficiente y eficaz, y coordinarse con las instancias competentes en materia de movilidad, para garantizar el cumplimiento permanente de este objetivo; 94XI. Generar e implementar un plan de acciones permanente, destinado a mejorar la seguridad de los usu</w:t>
                          </w:r>
                          <w:r w:rsidR="005D1F46">
                            <w:rPr>
                              <w:rFonts w:ascii="Courier New" w:hAnsi="Courier New" w:cs="Courier New"/>
                              <w:caps/>
                            </w:rPr>
                            <w:t>arios del espacio público;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382125"/>
                    <wp:effectExtent l="0" t="0" r="0" b="9525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382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D1F46" w:rsidRPr="005D1F46" w:rsidRDefault="005D1F46" w:rsidP="005D1F4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F4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zonas de preservación ecológica, parques, jardines y demás áreas análogas de su competencia, previstas en las normas de la materia; XVII. Diseñar, dirigir, aplicar y evaluar los programas y políticas públicas en materia ambiental; para la adaptación al cambio climático y la mitigación de emisiones de gases y compuestos de efecto invernadero; para supervisar la prestación del servicio de aseo público; para el aprovechamiento, conservación y creación de las áreas verdes y del patrimonio forestal; para la forestación y reforestación, en coordinación con las demás instancias competentes; 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programas; 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protegidas; XX. Elaborar sus manuales de organización y de procedimientos, en coordinación con las dependencias competentes, enviarlos para su registro y aplicarlos; XXI. Proponer y gestionar la actualización de las disposiciones reglamentarias relacionadas con las actividades de la Coordinación que incidan de manera positiva en el diseño de la ciudad; y XXII. Las demás previstas en la normatividad aplicable. Para la atención de los asuntos de su competencia, cuenta con la Dirección de la Autoridad del Espacio Público y las Direcciones de Ordenamiento del Territorio, de Obras Públicas, de Movilidad y Transporte, de Medio Ambiente.</w:t>
                                </w:r>
                                <w:bookmarkStart w:id="2" w:name="_GoBack"/>
                                <w:bookmarkEnd w:id="2"/>
                              </w:p>
                              <w:p w:rsidR="005E496D" w:rsidRPr="005D1F46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38.7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" fillcolor="window" stroked="f" strokeweight=".5pt">
                    <v:textbox>
                      <w:txbxContent>
                        <w:p w:rsidR="005D1F46" w:rsidRPr="005D1F46" w:rsidRDefault="005D1F46" w:rsidP="005D1F4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F46">
                            <w:rPr>
                              <w:rFonts w:ascii="Courier New" w:hAnsi="Courier New" w:cs="Courier New"/>
                              <w:caps/>
                            </w:rPr>
                            <w:t>zonas de preservación ecológica, parques, jardines y demás áreas análogas de su competencia, previstas en las normas de la materia; XVII. Diseñar, dirigir, aplicar y evaluar los programas y políticas públicas en materia ambiental; para la adaptación al cambio climático y la mitigación de emisiones de gases y compuestos de efecto invernadero; para supervisar la prestación del servicio de aseo público; para el aprovechamiento, conservación y creación de las áreas verdes y del patrimonio forestal; para la forestación y reforestación, en coordinación con las demás instancias competentes; 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programas; 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protegidas; XX. Elaborar sus manuales de organización y de procedimientos, en coordinación con las dependencias competentes, enviarlos para su registro y aplicarlos; XXI. Proponer y gestionar la actualización de las disposiciones reglamentarias relacionadas con las actividades de la Coordinación que incidan de manera positiva en el diseño de la ciudad; y XXII. Las demás previstas en la normatividad aplicable. Para la atención de los asuntos de su competencia, cuenta con la Dirección de la Autoridad del Espacio Público y las Direcciones de Ordenamiento del Territorio, de Obras Públicas, de Movilidad y Transporte, de Medio Ambiente.</w:t>
                          </w:r>
                          <w:bookmarkStart w:id="3" w:name="_GoBack"/>
                          <w:bookmarkEnd w:id="3"/>
                        </w:p>
                        <w:p w:rsidR="005E496D" w:rsidRPr="005D1F46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DF1622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22" w:rsidRDefault="00DF1622" w:rsidP="007534E1">
      <w:pPr>
        <w:spacing w:after="0" w:line="240" w:lineRule="auto"/>
      </w:pPr>
      <w:r>
        <w:separator/>
      </w:r>
    </w:p>
  </w:endnote>
  <w:endnote w:type="continuationSeparator" w:id="0">
    <w:p w:rsidR="00DF1622" w:rsidRDefault="00DF1622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22" w:rsidRDefault="00DF1622" w:rsidP="007534E1">
      <w:pPr>
        <w:spacing w:after="0" w:line="240" w:lineRule="auto"/>
      </w:pPr>
      <w:r>
        <w:separator/>
      </w:r>
    </w:p>
  </w:footnote>
  <w:footnote w:type="continuationSeparator" w:id="0">
    <w:p w:rsidR="00DF1622" w:rsidRDefault="00DF1622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887"/>
    <w:multiLevelType w:val="hybridMultilevel"/>
    <w:tmpl w:val="ABD233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20CDE"/>
    <w:multiLevelType w:val="hybridMultilevel"/>
    <w:tmpl w:val="9CF61790"/>
    <w:lvl w:ilvl="0" w:tplc="080A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26EAF"/>
    <w:multiLevelType w:val="hybridMultilevel"/>
    <w:tmpl w:val="E618C18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"/>
  </w:num>
  <w:num w:numId="5">
    <w:abstractNumId w:val="4"/>
  </w:num>
  <w:num w:numId="6">
    <w:abstractNumId w:val="20"/>
  </w:num>
  <w:num w:numId="7">
    <w:abstractNumId w:val="23"/>
  </w:num>
  <w:num w:numId="8">
    <w:abstractNumId w:val="31"/>
  </w:num>
  <w:num w:numId="9">
    <w:abstractNumId w:val="16"/>
  </w:num>
  <w:num w:numId="10">
    <w:abstractNumId w:val="30"/>
  </w:num>
  <w:num w:numId="11">
    <w:abstractNumId w:val="9"/>
  </w:num>
  <w:num w:numId="12">
    <w:abstractNumId w:val="11"/>
  </w:num>
  <w:num w:numId="13">
    <w:abstractNumId w:val="25"/>
  </w:num>
  <w:num w:numId="14">
    <w:abstractNumId w:val="22"/>
  </w:num>
  <w:num w:numId="15">
    <w:abstractNumId w:val="14"/>
  </w:num>
  <w:num w:numId="16">
    <w:abstractNumId w:val="18"/>
  </w:num>
  <w:num w:numId="17">
    <w:abstractNumId w:val="32"/>
  </w:num>
  <w:num w:numId="18">
    <w:abstractNumId w:val="24"/>
  </w:num>
  <w:num w:numId="19">
    <w:abstractNumId w:val="6"/>
  </w:num>
  <w:num w:numId="20">
    <w:abstractNumId w:val="3"/>
  </w:num>
  <w:num w:numId="21">
    <w:abstractNumId w:val="33"/>
  </w:num>
  <w:num w:numId="22">
    <w:abstractNumId w:val="29"/>
  </w:num>
  <w:num w:numId="23">
    <w:abstractNumId w:val="7"/>
  </w:num>
  <w:num w:numId="24">
    <w:abstractNumId w:val="27"/>
  </w:num>
  <w:num w:numId="25">
    <w:abstractNumId w:val="13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8614B"/>
    <w:rsid w:val="001B2AE6"/>
    <w:rsid w:val="001B7331"/>
    <w:rsid w:val="001F0236"/>
    <w:rsid w:val="001F4429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F46"/>
    <w:rsid w:val="005E2F98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29A7"/>
    <w:rsid w:val="00730234"/>
    <w:rsid w:val="007534E1"/>
    <w:rsid w:val="00763BAD"/>
    <w:rsid w:val="0077713A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1622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3579-738F-4F5D-AAA6-09209570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2024-11-01T17:40:00Z</dcterms:modified>
</cp:coreProperties>
</file>